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0" w:name="page1"/>
      <w:bookmarkEnd w:id="0"/>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1660"/>
        <w:rPr>
          <w:rFonts w:ascii="Times New Roman" w:hAnsi="Times New Roman" w:cs="Times New Roman"/>
          <w:sz w:val="24"/>
          <w:szCs w:val="24"/>
        </w:rPr>
      </w:pPr>
      <w:r>
        <w:rPr>
          <w:rFonts w:ascii="Verdana" w:hAnsi="Verdana" w:cs="Verdana"/>
          <w:b/>
          <w:bCs/>
          <w:sz w:val="24"/>
          <w:szCs w:val="24"/>
        </w:rPr>
        <w:t>DRAFT RULES UNDER COMPANIES ACT, 2013</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3680"/>
        <w:rPr>
          <w:rFonts w:ascii="Times New Roman" w:hAnsi="Times New Roman" w:cs="Times New Roman"/>
          <w:sz w:val="24"/>
          <w:szCs w:val="24"/>
        </w:rPr>
      </w:pPr>
      <w:r>
        <w:rPr>
          <w:rFonts w:ascii="Verdana" w:hAnsi="Verdana" w:cs="Verdana"/>
          <w:b/>
          <w:bCs/>
          <w:sz w:val="24"/>
          <w:szCs w:val="24"/>
        </w:rPr>
        <w:t>CHAPTER XXVI</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4260"/>
        <w:rPr>
          <w:rFonts w:ascii="Times New Roman" w:hAnsi="Times New Roman" w:cs="Times New Roman"/>
          <w:sz w:val="24"/>
          <w:szCs w:val="24"/>
        </w:rPr>
      </w:pPr>
      <w:r>
        <w:rPr>
          <w:rFonts w:ascii="Verdana" w:hAnsi="Verdana" w:cs="Verdana"/>
          <w:b/>
          <w:bCs/>
          <w:sz w:val="24"/>
          <w:szCs w:val="24"/>
        </w:rPr>
        <w:t>Nidhis</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bookmarkStart w:id="1" w:name="_GoBack"/>
      <w:bookmarkEnd w:id="1"/>
    </w:p>
    <w:p w:rsidR="00000000" w:rsidRDefault="004D7F71">
      <w:pPr>
        <w:pStyle w:val="DefaultParagraphFont"/>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Verdana" w:hAnsi="Verdana" w:cs="Verdana"/>
          <w:sz w:val="24"/>
          <w:szCs w:val="24"/>
        </w:rPr>
        <w:t>In exercise of the powers conferred under sub-section (1) of section 406 read with sub-sections (1) and (2) of 469 of the Companies Act, 2013, the Central Government hereby makes the following rules, namely:-</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8" w:lineRule="exact"/>
        <w:rPr>
          <w:rFonts w:ascii="Times New Roman" w:hAnsi="Times New Roman" w:cs="Times New Roman"/>
          <w:sz w:val="24"/>
          <w:szCs w:val="24"/>
        </w:rPr>
      </w:pPr>
    </w:p>
    <w:p w:rsidR="00000000" w:rsidRDefault="004D7F71">
      <w:pPr>
        <w:pStyle w:val="DefaultParagraphFont"/>
        <w:widowControl w:val="0"/>
        <w:numPr>
          <w:ilvl w:val="0"/>
          <w:numId w:val="1"/>
        </w:numPr>
        <w:overflowPunct w:val="0"/>
        <w:autoSpaceDE w:val="0"/>
        <w:autoSpaceDN w:val="0"/>
        <w:adjustRightInd w:val="0"/>
        <w:spacing w:after="0" w:line="240" w:lineRule="auto"/>
        <w:ind w:hanging="720"/>
        <w:jc w:val="both"/>
        <w:rPr>
          <w:rFonts w:ascii="Verdana" w:hAnsi="Verdana" w:cs="Verdana"/>
          <w:b/>
          <w:bCs/>
          <w:sz w:val="24"/>
          <w:szCs w:val="24"/>
        </w:rPr>
      </w:pPr>
      <w:r>
        <w:rPr>
          <w:rFonts w:ascii="Verdana" w:hAnsi="Verdana" w:cs="Verdana"/>
          <w:sz w:val="24"/>
          <w:szCs w:val="24"/>
        </w:rPr>
        <w:t xml:space="preserve">These Rules may be called Nidhi Rules, 2013. </w:t>
      </w:r>
    </w:p>
    <w:p w:rsidR="00000000" w:rsidRDefault="004D7F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4D7F71">
      <w:pPr>
        <w:pStyle w:val="DefaultParagraphFont"/>
        <w:widowControl w:val="0"/>
        <w:autoSpaceDE w:val="0"/>
        <w:autoSpaceDN w:val="0"/>
        <w:adjustRightInd w:val="0"/>
        <w:spacing w:after="0" w:line="242" w:lineRule="exact"/>
        <w:rPr>
          <w:rFonts w:ascii="Verdana" w:hAnsi="Verdana" w:cs="Verdana"/>
          <w:b/>
          <w:bCs/>
          <w:sz w:val="24"/>
          <w:szCs w:val="24"/>
        </w:rPr>
      </w:pPr>
    </w:p>
    <w:p w:rsidR="00000000" w:rsidRDefault="004D7F71">
      <w:pPr>
        <w:pStyle w:val="DefaultParagraphFont"/>
        <w:widowControl w:val="0"/>
        <w:numPr>
          <w:ilvl w:val="0"/>
          <w:numId w:val="1"/>
        </w:numPr>
        <w:tabs>
          <w:tab w:val="clear" w:pos="720"/>
          <w:tab w:val="num" w:pos="578"/>
        </w:tabs>
        <w:overflowPunct w:val="0"/>
        <w:autoSpaceDE w:val="0"/>
        <w:autoSpaceDN w:val="0"/>
        <w:adjustRightInd w:val="0"/>
        <w:spacing w:after="0" w:line="215" w:lineRule="auto"/>
        <w:ind w:left="0" w:firstLine="0"/>
        <w:jc w:val="both"/>
        <w:rPr>
          <w:rFonts w:ascii="Verdana" w:hAnsi="Verdana" w:cs="Verdana"/>
          <w:b/>
          <w:bCs/>
          <w:sz w:val="24"/>
          <w:szCs w:val="24"/>
        </w:rPr>
      </w:pPr>
      <w:r>
        <w:rPr>
          <w:rFonts w:ascii="Verdana" w:hAnsi="Verdana" w:cs="Verdana"/>
          <w:sz w:val="24"/>
          <w:szCs w:val="24"/>
        </w:rPr>
        <w:t xml:space="preserve">They shall come into force on the date of their publication in the Official Gazette. </w:t>
      </w:r>
    </w:p>
    <w:p w:rsidR="00000000" w:rsidRDefault="004D7F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4D7F71">
      <w:pPr>
        <w:pStyle w:val="DefaultParagraphFont"/>
        <w:widowControl w:val="0"/>
        <w:autoSpaceDE w:val="0"/>
        <w:autoSpaceDN w:val="0"/>
        <w:adjustRightInd w:val="0"/>
        <w:spacing w:after="0" w:line="385" w:lineRule="exact"/>
        <w:rPr>
          <w:rFonts w:ascii="Verdana" w:hAnsi="Verdana" w:cs="Verdana"/>
          <w:b/>
          <w:bCs/>
          <w:sz w:val="24"/>
          <w:szCs w:val="24"/>
        </w:rPr>
      </w:pPr>
    </w:p>
    <w:p w:rsidR="00000000" w:rsidRDefault="004D7F71">
      <w:pPr>
        <w:pStyle w:val="DefaultParagraphFont"/>
        <w:widowControl w:val="0"/>
        <w:numPr>
          <w:ilvl w:val="0"/>
          <w:numId w:val="1"/>
        </w:numPr>
        <w:tabs>
          <w:tab w:val="clear" w:pos="720"/>
          <w:tab w:val="num" w:pos="800"/>
        </w:tabs>
        <w:overflowPunct w:val="0"/>
        <w:autoSpaceDE w:val="0"/>
        <w:autoSpaceDN w:val="0"/>
        <w:adjustRightInd w:val="0"/>
        <w:spacing w:after="0" w:line="240" w:lineRule="auto"/>
        <w:ind w:left="800" w:hanging="800"/>
        <w:jc w:val="both"/>
        <w:rPr>
          <w:rFonts w:ascii="Verdana" w:hAnsi="Verdana" w:cs="Verdana"/>
          <w:b/>
          <w:bCs/>
          <w:sz w:val="24"/>
          <w:szCs w:val="24"/>
        </w:rPr>
      </w:pPr>
      <w:r>
        <w:rPr>
          <w:rFonts w:ascii="Verdana" w:hAnsi="Verdana" w:cs="Verdana"/>
          <w:sz w:val="24"/>
          <w:szCs w:val="24"/>
        </w:rPr>
        <w:t xml:space="preserve">These rules shall apply to: </w:t>
      </w:r>
    </w:p>
    <w:p w:rsidR="00000000" w:rsidRDefault="004D7F71">
      <w:pPr>
        <w:pStyle w:val="DefaultParagraphFont"/>
        <w:widowControl w:val="0"/>
        <w:autoSpaceDE w:val="0"/>
        <w:autoSpaceDN w:val="0"/>
        <w:adjustRightInd w:val="0"/>
        <w:spacing w:after="0" w:line="350" w:lineRule="exact"/>
        <w:rPr>
          <w:rFonts w:ascii="Verdana" w:hAnsi="Verdana" w:cs="Verdana"/>
          <w:b/>
          <w:bCs/>
          <w:sz w:val="24"/>
          <w:szCs w:val="24"/>
        </w:rPr>
      </w:pPr>
    </w:p>
    <w:p w:rsidR="00000000" w:rsidRDefault="004D7F71">
      <w:pPr>
        <w:pStyle w:val="DefaultParagraphFont"/>
        <w:widowControl w:val="0"/>
        <w:numPr>
          <w:ilvl w:val="1"/>
          <w:numId w:val="1"/>
        </w:numPr>
        <w:tabs>
          <w:tab w:val="clear" w:pos="1440"/>
          <w:tab w:val="num" w:pos="1106"/>
        </w:tabs>
        <w:overflowPunct w:val="0"/>
        <w:autoSpaceDE w:val="0"/>
        <w:autoSpaceDN w:val="0"/>
        <w:adjustRightInd w:val="0"/>
        <w:spacing w:after="0" w:line="224" w:lineRule="auto"/>
        <w:ind w:left="580" w:hanging="1"/>
        <w:jc w:val="both"/>
        <w:rPr>
          <w:rFonts w:ascii="Verdana" w:hAnsi="Verdana" w:cs="Verdana"/>
          <w:sz w:val="24"/>
          <w:szCs w:val="24"/>
        </w:rPr>
      </w:pPr>
      <w:r>
        <w:rPr>
          <w:rFonts w:ascii="Verdana" w:hAnsi="Verdana" w:cs="Verdana"/>
          <w:sz w:val="24"/>
          <w:szCs w:val="24"/>
        </w:rPr>
        <w:t>Every company which had been declared as a Nidhi or Mutual Benefit Society u</w:t>
      </w:r>
      <w:r>
        <w:rPr>
          <w:rFonts w:ascii="Verdana" w:hAnsi="Verdana" w:cs="Verdana"/>
          <w:sz w:val="24"/>
          <w:szCs w:val="24"/>
        </w:rPr>
        <w:t xml:space="preserve">nder sub-section (1) of section 620A of the Companies Act, 1956.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1"/>
          <w:numId w:val="1"/>
        </w:numPr>
        <w:tabs>
          <w:tab w:val="clear" w:pos="1440"/>
          <w:tab w:val="num" w:pos="1103"/>
        </w:tabs>
        <w:overflowPunct w:val="0"/>
        <w:autoSpaceDE w:val="0"/>
        <w:autoSpaceDN w:val="0"/>
        <w:adjustRightInd w:val="0"/>
        <w:spacing w:after="0" w:line="228" w:lineRule="auto"/>
        <w:ind w:left="580" w:hanging="1"/>
        <w:jc w:val="both"/>
        <w:rPr>
          <w:rFonts w:ascii="Verdana" w:hAnsi="Verdana" w:cs="Verdana"/>
          <w:sz w:val="24"/>
          <w:szCs w:val="24"/>
        </w:rPr>
      </w:pPr>
      <w:r>
        <w:rPr>
          <w:rFonts w:ascii="Verdana" w:hAnsi="Verdana" w:cs="Verdana"/>
          <w:sz w:val="24"/>
          <w:szCs w:val="24"/>
        </w:rPr>
        <w:t>Every company functioning on the lines of a Nidhi company or Mutual Benefit Society but has either not applied for or has applied for and is awaiting notification to be a Nidhi or Mutual Benefit Society under sub-section (1) of section 620A of the Companie</w:t>
      </w:r>
      <w:r>
        <w:rPr>
          <w:rFonts w:ascii="Verdana" w:hAnsi="Verdana" w:cs="Verdana"/>
          <w:sz w:val="24"/>
          <w:szCs w:val="24"/>
        </w:rPr>
        <w:t xml:space="preserve">s Act, 1956.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1"/>
          <w:numId w:val="1"/>
        </w:numPr>
        <w:tabs>
          <w:tab w:val="clear" w:pos="1440"/>
          <w:tab w:val="num" w:pos="1010"/>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 xml:space="preserve">Every company incorporated as a Nidhi pursuant to the provisions of section 406 of the Act (hereinafter referred to as Nidhi).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4</w:t>
      </w:r>
      <w:r>
        <w:rPr>
          <w:rFonts w:ascii="Verdana" w:hAnsi="Verdana" w:cs="Verdana"/>
          <w:sz w:val="24"/>
          <w:szCs w:val="24"/>
        </w:rPr>
        <w:t>.  In these rules:-</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2"/>
        </w:numPr>
        <w:tabs>
          <w:tab w:val="clear" w:pos="720"/>
          <w:tab w:val="num" w:pos="360"/>
        </w:tabs>
        <w:overflowPunct w:val="0"/>
        <w:autoSpaceDE w:val="0"/>
        <w:autoSpaceDN w:val="0"/>
        <w:adjustRightInd w:val="0"/>
        <w:spacing w:after="0" w:line="240" w:lineRule="auto"/>
        <w:ind w:left="360"/>
        <w:jc w:val="both"/>
        <w:rPr>
          <w:rFonts w:ascii="Verdana" w:hAnsi="Verdana" w:cs="Verdana"/>
          <w:sz w:val="24"/>
          <w:szCs w:val="24"/>
        </w:rPr>
      </w:pPr>
      <w:r>
        <w:rPr>
          <w:rFonts w:ascii="Verdana" w:hAnsi="Verdana" w:cs="Verdana"/>
          <w:sz w:val="24"/>
          <w:szCs w:val="24"/>
        </w:rPr>
        <w:t xml:space="preserve">“Act” means the Companies Act, 2013.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2"/>
        </w:numPr>
        <w:tabs>
          <w:tab w:val="clear" w:pos="720"/>
          <w:tab w:val="num" w:pos="461"/>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 xml:space="preserve">“Doubtful Asset” </w:t>
      </w:r>
      <w:r>
        <w:rPr>
          <w:rFonts w:ascii="Verdana" w:hAnsi="Verdana" w:cs="Verdana"/>
          <w:sz w:val="24"/>
          <w:szCs w:val="24"/>
        </w:rPr>
        <w:t xml:space="preserve">means a borrowal account which has remained a non-performing asset for more than two years but less than three years.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9240"/>
        <w:rPr>
          <w:rFonts w:ascii="Times New Roman" w:hAnsi="Times New Roman" w:cs="Times New Roman"/>
          <w:sz w:val="24"/>
          <w:szCs w:val="24"/>
        </w:rPr>
      </w:pPr>
      <w:r>
        <w:rPr>
          <w:rFonts w:ascii="Times New Roman" w:hAnsi="Times New Roman" w:cs="Times New Roman"/>
          <w:sz w:val="24"/>
          <w:szCs w:val="24"/>
        </w:rPr>
        <w:t>1</w:t>
      </w:r>
    </w:p>
    <w:p w:rsidR="00000000" w:rsidRDefault="004D7F71">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2" w:name="page2"/>
      <w:bookmarkEnd w:id="2"/>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numPr>
          <w:ilvl w:val="0"/>
          <w:numId w:val="3"/>
        </w:numPr>
        <w:tabs>
          <w:tab w:val="clear" w:pos="720"/>
          <w:tab w:val="num" w:pos="535"/>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 xml:space="preserve">“financial year” means financial year as defined in sub-section (41) of section 2 of the Act.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3"/>
        </w:numPr>
        <w:tabs>
          <w:tab w:val="clear" w:pos="720"/>
          <w:tab w:val="num" w:pos="574"/>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“Loss Asset” means a borrowal account which has remained a non-performing asset for more than three years or where in the opinion of the Board, a shortfall in the recovery of the loan account is expected because the documents executed may become inva</w:t>
      </w:r>
      <w:r>
        <w:rPr>
          <w:rFonts w:ascii="Verdana" w:hAnsi="Verdana" w:cs="Verdana"/>
          <w:sz w:val="24"/>
          <w:szCs w:val="24"/>
        </w:rPr>
        <w:t xml:space="preserve">lid if subjected to legal process or for any other reason.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3"/>
        </w:numPr>
        <w:tabs>
          <w:tab w:val="clear" w:pos="720"/>
          <w:tab w:val="num" w:pos="444"/>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 xml:space="preserve">“Member” means a member as defined in sub-section (55) of section 2 of the Act.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3"/>
        </w:numPr>
        <w:tabs>
          <w:tab w:val="clear" w:pos="720"/>
          <w:tab w:val="num" w:pos="533"/>
        </w:tabs>
        <w:overflowPunct w:val="0"/>
        <w:autoSpaceDE w:val="0"/>
        <w:autoSpaceDN w:val="0"/>
        <w:adjustRightInd w:val="0"/>
        <w:spacing w:after="0" w:line="223" w:lineRule="auto"/>
        <w:ind w:left="0" w:firstLine="0"/>
        <w:jc w:val="both"/>
        <w:rPr>
          <w:rFonts w:ascii="Verdana" w:hAnsi="Verdana" w:cs="Verdana"/>
          <w:sz w:val="24"/>
          <w:szCs w:val="24"/>
        </w:rPr>
      </w:pPr>
      <w:r>
        <w:rPr>
          <w:rFonts w:ascii="Verdana" w:hAnsi="Verdana" w:cs="Verdana"/>
          <w:sz w:val="24"/>
          <w:szCs w:val="24"/>
        </w:rPr>
        <w:t>“Net Owned Funds” means the aggregate of paid up equity capital and free reserves as reduced by accumu</w:t>
      </w:r>
      <w:r>
        <w:rPr>
          <w:rFonts w:ascii="Verdana" w:hAnsi="Verdana" w:cs="Verdana"/>
          <w:sz w:val="24"/>
          <w:szCs w:val="24"/>
        </w:rPr>
        <w:t xml:space="preserve">lated losses and intangible assets appearing in the last audited balance sheet: </w:t>
      </w:r>
    </w:p>
    <w:p w:rsidR="00000000" w:rsidRDefault="004D7F71">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sz w:val="24"/>
          <w:szCs w:val="24"/>
        </w:rPr>
        <w:t>Provided that:</w:t>
      </w:r>
    </w:p>
    <w:p w:rsidR="00000000" w:rsidRDefault="004D7F71">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4D7F71">
      <w:pPr>
        <w:pStyle w:val="DefaultParagraphFont"/>
        <w:widowControl w:val="0"/>
        <w:numPr>
          <w:ilvl w:val="1"/>
          <w:numId w:val="4"/>
        </w:numPr>
        <w:tabs>
          <w:tab w:val="clear" w:pos="1440"/>
          <w:tab w:val="num" w:pos="1034"/>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 xml:space="preserve">A reserve shall be considered as a “free reserve” if it is available for distribution as dividend.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1"/>
          <w:numId w:val="4"/>
        </w:numPr>
        <w:tabs>
          <w:tab w:val="clear" w:pos="1440"/>
          <w:tab w:val="num" w:pos="1036"/>
        </w:tabs>
        <w:overflowPunct w:val="0"/>
        <w:autoSpaceDE w:val="0"/>
        <w:autoSpaceDN w:val="0"/>
        <w:adjustRightInd w:val="0"/>
        <w:spacing w:after="0" w:line="216" w:lineRule="auto"/>
        <w:ind w:left="580" w:hanging="1"/>
        <w:jc w:val="both"/>
        <w:rPr>
          <w:rFonts w:ascii="Verdana" w:hAnsi="Verdana" w:cs="Verdana"/>
          <w:sz w:val="24"/>
          <w:szCs w:val="24"/>
        </w:rPr>
      </w:pPr>
      <w:r>
        <w:rPr>
          <w:rFonts w:ascii="Verdana" w:hAnsi="Verdana" w:cs="Verdana"/>
          <w:sz w:val="24"/>
          <w:szCs w:val="24"/>
        </w:rPr>
        <w:t xml:space="preserve">The amount representing the proceeds of issue of preference shares shall not be included for calculating Net Owned Funds.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5"/>
        </w:numPr>
        <w:tabs>
          <w:tab w:val="clear" w:pos="720"/>
          <w:tab w:val="num" w:pos="695"/>
        </w:tabs>
        <w:overflowPunct w:val="0"/>
        <w:autoSpaceDE w:val="0"/>
        <w:autoSpaceDN w:val="0"/>
        <w:adjustRightInd w:val="0"/>
        <w:spacing w:after="0" w:line="223" w:lineRule="auto"/>
        <w:ind w:left="0" w:firstLine="0"/>
        <w:jc w:val="both"/>
        <w:rPr>
          <w:rFonts w:ascii="Verdana" w:hAnsi="Verdana" w:cs="Verdana"/>
          <w:sz w:val="24"/>
          <w:szCs w:val="24"/>
        </w:rPr>
      </w:pPr>
      <w:r>
        <w:rPr>
          <w:rFonts w:ascii="Verdana" w:hAnsi="Verdana" w:cs="Verdana"/>
          <w:sz w:val="24"/>
          <w:szCs w:val="24"/>
        </w:rPr>
        <w:t>“Non-Performing Asset” means a borrowal account in respect of which interest income and/or instalment of loan towards repayme</w:t>
      </w:r>
      <w:r>
        <w:rPr>
          <w:rFonts w:ascii="Verdana" w:hAnsi="Verdana" w:cs="Verdana"/>
          <w:sz w:val="24"/>
          <w:szCs w:val="24"/>
        </w:rPr>
        <w:t xml:space="preserve">nt of principal amount has remained unrealised for 12 months. </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Verdana" w:hAnsi="Verdana" w:cs="Verdana"/>
          <w:sz w:val="24"/>
          <w:szCs w:val="24"/>
        </w:rPr>
        <w:t>(viii) “Standard Asset” means the asset in respect of which no default in repayment of principal or payment of interest has occurred or is perceived and which has not shown signs of any proble</w:t>
      </w:r>
      <w:r>
        <w:rPr>
          <w:rFonts w:ascii="Verdana" w:hAnsi="Verdana" w:cs="Verdana"/>
          <w:sz w:val="24"/>
          <w:szCs w:val="24"/>
        </w:rPr>
        <w:t>m relating to repayment of principal sum or interest nor does it carry more than normal risk attached to the business.</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jc w:val="both"/>
        <w:rPr>
          <w:rFonts w:ascii="Times New Roman" w:hAnsi="Times New Roman" w:cs="Times New Roman"/>
          <w:sz w:val="24"/>
          <w:szCs w:val="24"/>
        </w:rPr>
      </w:pPr>
      <w:r>
        <w:rPr>
          <w:rFonts w:ascii="Verdana" w:hAnsi="Verdana" w:cs="Verdana"/>
          <w:sz w:val="24"/>
          <w:szCs w:val="24"/>
        </w:rPr>
        <w:t>(ix) “Sub-Standard Asset” means a borrowal account which is a non performing asset:</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7" w:lineRule="auto"/>
        <w:ind w:firstLine="578"/>
        <w:jc w:val="both"/>
        <w:rPr>
          <w:rFonts w:ascii="Times New Roman" w:hAnsi="Times New Roman" w:cs="Times New Roman"/>
          <w:sz w:val="24"/>
          <w:szCs w:val="24"/>
        </w:rPr>
      </w:pPr>
      <w:r>
        <w:rPr>
          <w:rFonts w:ascii="Verdana" w:hAnsi="Verdana" w:cs="Verdana"/>
          <w:sz w:val="24"/>
          <w:szCs w:val="24"/>
        </w:rPr>
        <w:t>Provided that reschedulement or renegotiation or rephasement of the loan instalment or interest payment would not change the classification of an asset unless the borrowal account has satisfactorily performed for at least twelve months after such reschedul</w:t>
      </w:r>
      <w:r>
        <w:rPr>
          <w:rFonts w:ascii="Verdana" w:hAnsi="Verdana" w:cs="Verdana"/>
          <w:sz w:val="24"/>
          <w:szCs w:val="24"/>
        </w:rPr>
        <w:t>ement or renegotiation or rephasement.</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3" w:name="page3"/>
      <w:bookmarkEnd w:id="3"/>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27"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5. Incorporation and incidental matters</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51" w:lineRule="auto"/>
        <w:jc w:val="both"/>
        <w:rPr>
          <w:rFonts w:ascii="Times New Roman" w:hAnsi="Times New Roman" w:cs="Times New Roman"/>
          <w:sz w:val="24"/>
          <w:szCs w:val="24"/>
        </w:rPr>
      </w:pPr>
      <w:r>
        <w:rPr>
          <w:rFonts w:ascii="Verdana" w:hAnsi="Verdana" w:cs="Verdana"/>
          <w:sz w:val="24"/>
          <w:szCs w:val="24"/>
        </w:rPr>
        <w:t>(i) For the purposes of sub-section (71) of section 2 of the Act, a Nidhi to be incorporated under the Act shall be a public company and must have a minimum paid up equity share capital of ten lakh rupees.</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74" w:lineRule="exact"/>
        <w:rPr>
          <w:rFonts w:ascii="Times New Roman" w:hAnsi="Times New Roman" w:cs="Times New Roman"/>
          <w:sz w:val="24"/>
          <w:szCs w:val="24"/>
        </w:rPr>
      </w:pPr>
    </w:p>
    <w:p w:rsidR="00000000" w:rsidRDefault="004D7F71">
      <w:pPr>
        <w:pStyle w:val="DefaultParagraphFont"/>
        <w:widowControl w:val="0"/>
        <w:numPr>
          <w:ilvl w:val="0"/>
          <w:numId w:val="6"/>
        </w:numPr>
        <w:tabs>
          <w:tab w:val="clear" w:pos="720"/>
          <w:tab w:val="num" w:pos="578"/>
        </w:tabs>
        <w:overflowPunct w:val="0"/>
        <w:autoSpaceDE w:val="0"/>
        <w:autoSpaceDN w:val="0"/>
        <w:adjustRightInd w:val="0"/>
        <w:spacing w:after="0" w:line="259" w:lineRule="auto"/>
        <w:ind w:left="0" w:firstLine="0"/>
        <w:jc w:val="both"/>
        <w:rPr>
          <w:rFonts w:ascii="Verdana" w:hAnsi="Verdana" w:cs="Verdana"/>
          <w:sz w:val="24"/>
          <w:szCs w:val="24"/>
        </w:rPr>
      </w:pPr>
      <w:r>
        <w:rPr>
          <w:rFonts w:ascii="Verdana" w:hAnsi="Verdana" w:cs="Verdana"/>
          <w:sz w:val="24"/>
          <w:szCs w:val="24"/>
        </w:rPr>
        <w:t>On and after the commencement of the Act,</w:t>
      </w:r>
      <w:r>
        <w:rPr>
          <w:rFonts w:ascii="Verdana" w:hAnsi="Verdana" w:cs="Verdana"/>
          <w:sz w:val="24"/>
          <w:szCs w:val="24"/>
        </w:rPr>
        <w:t xml:space="preserve"> no Nidhi shall issue preference shares. If preference shares had been issued by a Nidhi before the commencement of this Act, such preference shares shall be redeemed in accordance with the terms of issue of such shares. </w:t>
      </w:r>
    </w:p>
    <w:p w:rsidR="00000000" w:rsidRDefault="004D7F71">
      <w:pPr>
        <w:pStyle w:val="DefaultParagraphFont"/>
        <w:widowControl w:val="0"/>
        <w:autoSpaceDE w:val="0"/>
        <w:autoSpaceDN w:val="0"/>
        <w:adjustRightInd w:val="0"/>
        <w:spacing w:after="0" w:line="375" w:lineRule="exact"/>
        <w:rPr>
          <w:rFonts w:ascii="Verdana" w:hAnsi="Verdana" w:cs="Verdana"/>
          <w:sz w:val="24"/>
          <w:szCs w:val="24"/>
        </w:rPr>
      </w:pPr>
    </w:p>
    <w:p w:rsidR="00000000" w:rsidRDefault="004D7F71">
      <w:pPr>
        <w:pStyle w:val="DefaultParagraphFont"/>
        <w:widowControl w:val="0"/>
        <w:numPr>
          <w:ilvl w:val="0"/>
          <w:numId w:val="6"/>
        </w:numPr>
        <w:tabs>
          <w:tab w:val="clear" w:pos="720"/>
          <w:tab w:val="num" w:pos="830"/>
        </w:tabs>
        <w:overflowPunct w:val="0"/>
        <w:autoSpaceDE w:val="0"/>
        <w:autoSpaceDN w:val="0"/>
        <w:adjustRightInd w:val="0"/>
        <w:spacing w:after="0" w:line="227" w:lineRule="auto"/>
        <w:ind w:left="0" w:firstLine="0"/>
        <w:jc w:val="both"/>
        <w:rPr>
          <w:rFonts w:ascii="Verdana" w:hAnsi="Verdana" w:cs="Verdana"/>
          <w:sz w:val="24"/>
          <w:szCs w:val="24"/>
        </w:rPr>
      </w:pPr>
      <w:r>
        <w:rPr>
          <w:rFonts w:ascii="Verdana" w:hAnsi="Verdana" w:cs="Verdana"/>
          <w:sz w:val="24"/>
          <w:szCs w:val="24"/>
        </w:rPr>
        <w:t>No Nidhi shall have any ob</w:t>
      </w:r>
      <w:r>
        <w:rPr>
          <w:rFonts w:ascii="Verdana" w:hAnsi="Verdana" w:cs="Verdana"/>
          <w:sz w:val="24"/>
          <w:szCs w:val="24"/>
        </w:rPr>
        <w:t xml:space="preserve">ject in its Memorandum of Association other than the object of </w:t>
      </w:r>
      <w:r>
        <w:rPr>
          <w:rFonts w:ascii="Verdana" w:hAnsi="Verdana" w:cs="Verdana"/>
          <w:color w:val="231F20"/>
          <w:sz w:val="24"/>
          <w:szCs w:val="24"/>
        </w:rPr>
        <w:t>cultivating the habit of thrift and savings amongst</w:t>
      </w:r>
      <w:r>
        <w:rPr>
          <w:rFonts w:ascii="Verdana" w:hAnsi="Verdana" w:cs="Verdana"/>
          <w:sz w:val="24"/>
          <w:szCs w:val="24"/>
        </w:rPr>
        <w:t xml:space="preserve"> </w:t>
      </w:r>
      <w:r>
        <w:rPr>
          <w:rFonts w:ascii="Verdana" w:hAnsi="Verdana" w:cs="Verdana"/>
          <w:color w:val="231F20"/>
          <w:sz w:val="24"/>
          <w:szCs w:val="24"/>
        </w:rPr>
        <w:t xml:space="preserve">its members, receiving deposits from, and lending to, its members only, for their mutual benefit.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6" w:lineRule="exact"/>
        <w:rPr>
          <w:rFonts w:ascii="Verdana" w:hAnsi="Verdana" w:cs="Verdana"/>
          <w:sz w:val="24"/>
          <w:szCs w:val="24"/>
        </w:rPr>
      </w:pPr>
    </w:p>
    <w:p w:rsidR="00000000" w:rsidRDefault="004D7F71">
      <w:pPr>
        <w:pStyle w:val="DefaultParagraphFont"/>
        <w:widowControl w:val="0"/>
        <w:numPr>
          <w:ilvl w:val="0"/>
          <w:numId w:val="6"/>
        </w:numPr>
        <w:tabs>
          <w:tab w:val="clear" w:pos="720"/>
          <w:tab w:val="num" w:pos="578"/>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Every Company incorporated as a “</w:t>
      </w:r>
      <w:r>
        <w:rPr>
          <w:rFonts w:ascii="Verdana" w:hAnsi="Verdana" w:cs="Verdana"/>
          <w:sz w:val="24"/>
          <w:szCs w:val="24"/>
        </w:rPr>
        <w:t xml:space="preserve">Nidhi” shall have the last words ‘Nidhi Limited’ as part of its name.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3" w:lineRule="exact"/>
        <w:rPr>
          <w:rFonts w:ascii="Verdana" w:hAnsi="Verdana" w:cs="Verdana"/>
          <w:sz w:val="24"/>
          <w:szCs w:val="24"/>
        </w:rPr>
      </w:pPr>
    </w:p>
    <w:p w:rsidR="00000000" w:rsidRDefault="004D7F71">
      <w:pPr>
        <w:pStyle w:val="DefaultParagraphFont"/>
        <w:widowControl w:val="0"/>
        <w:numPr>
          <w:ilvl w:val="0"/>
          <w:numId w:val="6"/>
        </w:numPr>
        <w:tabs>
          <w:tab w:val="clear" w:pos="720"/>
          <w:tab w:val="num" w:pos="662"/>
        </w:tabs>
        <w:overflowPunct w:val="0"/>
        <w:autoSpaceDE w:val="0"/>
        <w:autoSpaceDN w:val="0"/>
        <w:adjustRightInd w:val="0"/>
        <w:spacing w:after="0" w:line="227" w:lineRule="auto"/>
        <w:ind w:left="0" w:firstLine="0"/>
        <w:jc w:val="both"/>
        <w:rPr>
          <w:rFonts w:ascii="Verdana" w:hAnsi="Verdana" w:cs="Verdana"/>
          <w:sz w:val="24"/>
          <w:szCs w:val="24"/>
        </w:rPr>
      </w:pPr>
      <w:r>
        <w:rPr>
          <w:rFonts w:ascii="Verdana" w:hAnsi="Verdana" w:cs="Verdana"/>
          <w:sz w:val="24"/>
          <w:szCs w:val="24"/>
        </w:rPr>
        <w:t>In respect of companies covered under clauses (a) and (b) of rule 3 formed before the commencement of this Act, they shall , within a period of two years from the date of commen</w:t>
      </w:r>
      <w:r>
        <w:rPr>
          <w:rFonts w:ascii="Verdana" w:hAnsi="Verdana" w:cs="Verdana"/>
          <w:sz w:val="24"/>
          <w:szCs w:val="24"/>
        </w:rPr>
        <w:t xml:space="preserve">cement of these rules, change their name in accordance with sub-rule (iv) above and the provisions of the Act.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6"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rPr>
          <w:rFonts w:ascii="Times New Roman" w:hAnsi="Times New Roman" w:cs="Times New Roman"/>
          <w:sz w:val="24"/>
          <w:szCs w:val="24"/>
        </w:rPr>
      </w:pPr>
      <w:r>
        <w:rPr>
          <w:rFonts w:ascii="Verdana" w:hAnsi="Verdana" w:cs="Verdana"/>
          <w:b/>
          <w:bCs/>
          <w:sz w:val="24"/>
          <w:szCs w:val="24"/>
        </w:rPr>
        <w:t xml:space="preserve">6. </w:t>
      </w:r>
      <w:r>
        <w:rPr>
          <w:rFonts w:ascii="Verdana" w:hAnsi="Verdana" w:cs="Verdana"/>
          <w:sz w:val="24"/>
          <w:szCs w:val="24"/>
        </w:rPr>
        <w:t>(i) Every Nidhi shall, within a period of one year from the</w:t>
      </w:r>
      <w:r>
        <w:rPr>
          <w:rFonts w:ascii="Verdana" w:hAnsi="Verdana" w:cs="Verdana"/>
          <w:b/>
          <w:bCs/>
          <w:sz w:val="24"/>
          <w:szCs w:val="24"/>
        </w:rPr>
        <w:t xml:space="preserve"> </w:t>
      </w:r>
      <w:r>
        <w:rPr>
          <w:rFonts w:ascii="Verdana" w:hAnsi="Verdana" w:cs="Verdana"/>
          <w:sz w:val="24"/>
          <w:szCs w:val="24"/>
        </w:rPr>
        <w:t>commencement of these rules, ensure that it has:</w:t>
      </w: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numPr>
          <w:ilvl w:val="0"/>
          <w:numId w:val="7"/>
        </w:numPr>
        <w:tabs>
          <w:tab w:val="clear" w:pos="720"/>
          <w:tab w:val="num" w:pos="1600"/>
        </w:tabs>
        <w:overflowPunct w:val="0"/>
        <w:autoSpaceDE w:val="0"/>
        <w:autoSpaceDN w:val="0"/>
        <w:adjustRightInd w:val="0"/>
        <w:spacing w:after="0" w:line="240" w:lineRule="auto"/>
        <w:ind w:left="1600" w:hanging="443"/>
        <w:jc w:val="both"/>
        <w:rPr>
          <w:rFonts w:ascii="Verdana" w:hAnsi="Verdana" w:cs="Verdana"/>
          <w:sz w:val="24"/>
          <w:szCs w:val="24"/>
        </w:rPr>
      </w:pPr>
      <w:r>
        <w:rPr>
          <w:rFonts w:ascii="Verdana" w:hAnsi="Verdana" w:cs="Verdana"/>
          <w:sz w:val="24"/>
          <w:szCs w:val="24"/>
        </w:rPr>
        <w:t xml:space="preserve">Not less than two hundred members. </w:t>
      </w:r>
    </w:p>
    <w:p w:rsidR="00000000" w:rsidRDefault="004D7F71">
      <w:pPr>
        <w:pStyle w:val="DefaultParagraphFont"/>
        <w:widowControl w:val="0"/>
        <w:autoSpaceDE w:val="0"/>
        <w:autoSpaceDN w:val="0"/>
        <w:adjustRightInd w:val="0"/>
        <w:spacing w:after="0" w:line="291" w:lineRule="exact"/>
        <w:rPr>
          <w:rFonts w:ascii="Verdana" w:hAnsi="Verdana" w:cs="Verdana"/>
          <w:sz w:val="24"/>
          <w:szCs w:val="24"/>
        </w:rPr>
      </w:pPr>
    </w:p>
    <w:p w:rsidR="00000000" w:rsidRDefault="004D7F71">
      <w:pPr>
        <w:pStyle w:val="DefaultParagraphFont"/>
        <w:widowControl w:val="0"/>
        <w:numPr>
          <w:ilvl w:val="0"/>
          <w:numId w:val="7"/>
        </w:numPr>
        <w:tabs>
          <w:tab w:val="clear" w:pos="720"/>
          <w:tab w:val="num" w:pos="1600"/>
        </w:tabs>
        <w:overflowPunct w:val="0"/>
        <w:autoSpaceDE w:val="0"/>
        <w:autoSpaceDN w:val="0"/>
        <w:adjustRightInd w:val="0"/>
        <w:spacing w:after="0" w:line="240" w:lineRule="auto"/>
        <w:ind w:left="1600" w:hanging="443"/>
        <w:jc w:val="both"/>
        <w:rPr>
          <w:rFonts w:ascii="Verdana" w:hAnsi="Verdana" w:cs="Verdana"/>
          <w:sz w:val="24"/>
          <w:szCs w:val="24"/>
        </w:rPr>
      </w:pPr>
      <w:r>
        <w:rPr>
          <w:rFonts w:ascii="Verdana" w:hAnsi="Verdana" w:cs="Verdana"/>
          <w:sz w:val="24"/>
          <w:szCs w:val="24"/>
        </w:rPr>
        <w:t xml:space="preserve">Net Owned Funds of ten lakh rupees or more.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7"/>
        </w:numPr>
        <w:tabs>
          <w:tab w:val="clear" w:pos="720"/>
          <w:tab w:val="num" w:pos="1736"/>
        </w:tabs>
        <w:overflowPunct w:val="0"/>
        <w:autoSpaceDE w:val="0"/>
        <w:autoSpaceDN w:val="0"/>
        <w:adjustRightInd w:val="0"/>
        <w:spacing w:after="0" w:line="215" w:lineRule="auto"/>
        <w:ind w:left="1160" w:hanging="3"/>
        <w:jc w:val="both"/>
        <w:rPr>
          <w:rFonts w:ascii="Verdana" w:hAnsi="Verdana" w:cs="Verdana"/>
          <w:sz w:val="24"/>
          <w:szCs w:val="24"/>
        </w:rPr>
      </w:pPr>
      <w:r>
        <w:rPr>
          <w:rFonts w:ascii="Verdana" w:hAnsi="Verdana" w:cs="Verdana"/>
          <w:sz w:val="24"/>
          <w:szCs w:val="24"/>
        </w:rPr>
        <w:t xml:space="preserve">Unencumbered Term Deposits of not less than ten per cent. of the outstanding deposits as specified in rule 15.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9240"/>
        <w:rPr>
          <w:rFonts w:ascii="Times New Roman" w:hAnsi="Times New Roman" w:cs="Times New Roman"/>
          <w:sz w:val="24"/>
          <w:szCs w:val="24"/>
        </w:rPr>
      </w:pPr>
      <w:r>
        <w:rPr>
          <w:rFonts w:ascii="Times New Roman" w:hAnsi="Times New Roman" w:cs="Times New Roman"/>
          <w:sz w:val="24"/>
          <w:szCs w:val="24"/>
        </w:rPr>
        <w:t>3</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 w:name="page4"/>
      <w:bookmarkEnd w:id="4"/>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4D7F71">
      <w:pPr>
        <w:pStyle w:val="DefaultParagraphFont"/>
        <w:widowControl w:val="0"/>
        <w:numPr>
          <w:ilvl w:val="1"/>
          <w:numId w:val="8"/>
        </w:numPr>
        <w:tabs>
          <w:tab w:val="clear" w:pos="1440"/>
          <w:tab w:val="num" w:pos="1600"/>
        </w:tabs>
        <w:overflowPunct w:val="0"/>
        <w:autoSpaceDE w:val="0"/>
        <w:autoSpaceDN w:val="0"/>
        <w:adjustRightInd w:val="0"/>
        <w:spacing w:after="0" w:line="240" w:lineRule="auto"/>
        <w:ind w:left="1600" w:hanging="443"/>
        <w:jc w:val="both"/>
        <w:rPr>
          <w:rFonts w:ascii="Verdana" w:hAnsi="Verdana" w:cs="Verdana"/>
          <w:sz w:val="24"/>
          <w:szCs w:val="24"/>
        </w:rPr>
      </w:pPr>
      <w:r>
        <w:rPr>
          <w:rFonts w:ascii="Verdana" w:hAnsi="Verdana" w:cs="Verdana"/>
          <w:sz w:val="24"/>
          <w:szCs w:val="24"/>
        </w:rPr>
        <w:t xml:space="preserve">Ratio of Net Owned Funds to Deposits of not more than 1:20. </w:t>
      </w:r>
    </w:p>
    <w:p w:rsidR="00000000" w:rsidRDefault="004D7F71">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D7F71">
      <w:pPr>
        <w:pStyle w:val="DefaultParagraphFont"/>
        <w:widowControl w:val="0"/>
        <w:numPr>
          <w:ilvl w:val="0"/>
          <w:numId w:val="9"/>
        </w:numPr>
        <w:tabs>
          <w:tab w:val="clear" w:pos="720"/>
          <w:tab w:val="num" w:pos="528"/>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Within 90 days from the close of the first financial year after its incorporation and where applicable, the second financial year, the Nidhi shall file a Return of statutory compliances in</w:t>
      </w:r>
      <w:r>
        <w:rPr>
          <w:rFonts w:ascii="Verdana" w:hAnsi="Verdana" w:cs="Verdana"/>
          <w:sz w:val="24"/>
          <w:szCs w:val="24"/>
        </w:rPr>
        <w:t xml:space="preserve"> </w:t>
      </w:r>
      <w:r>
        <w:rPr>
          <w:rFonts w:ascii="Verdana" w:hAnsi="Verdana" w:cs="Verdana"/>
          <w:b/>
          <w:bCs/>
          <w:sz w:val="24"/>
          <w:szCs w:val="24"/>
        </w:rPr>
        <w:t>Form No. 26.1</w:t>
      </w:r>
      <w:r>
        <w:rPr>
          <w:rFonts w:ascii="Verdana" w:hAnsi="Verdana" w:cs="Verdana"/>
          <w:sz w:val="24"/>
          <w:szCs w:val="24"/>
        </w:rPr>
        <w:t xml:space="preserve"> along with such fee as provided in Annexure ‘B’ with the Registrar duly certified by a company secretary in practice or chartered accountant or cost accountant.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4D7F71">
      <w:pPr>
        <w:pStyle w:val="DefaultParagraphFont"/>
        <w:widowControl w:val="0"/>
        <w:numPr>
          <w:ilvl w:val="0"/>
          <w:numId w:val="9"/>
        </w:numPr>
        <w:tabs>
          <w:tab w:val="clear" w:pos="720"/>
          <w:tab w:val="num" w:pos="545"/>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If a Nidhi is not in compliance with clauses (a) or (d) of sub-rule (</w:t>
      </w:r>
      <w:r>
        <w:rPr>
          <w:rFonts w:ascii="Verdana" w:hAnsi="Verdana" w:cs="Verdana"/>
          <w:sz w:val="24"/>
          <w:szCs w:val="24"/>
        </w:rPr>
        <w:t xml:space="preserve">i) above, it shall within 30 days from the close of the first financial year, apply to the Regional Director in </w:t>
      </w:r>
      <w:r>
        <w:rPr>
          <w:rFonts w:ascii="Verdana" w:hAnsi="Verdana" w:cs="Verdana"/>
          <w:b/>
          <w:bCs/>
          <w:sz w:val="24"/>
          <w:szCs w:val="24"/>
        </w:rPr>
        <w:t>Form No. 26.2</w:t>
      </w:r>
      <w:r>
        <w:rPr>
          <w:rFonts w:ascii="Verdana" w:hAnsi="Verdana" w:cs="Verdana"/>
          <w:sz w:val="24"/>
          <w:szCs w:val="24"/>
        </w:rPr>
        <w:t xml:space="preserve"> along with fee specified in Annexure ‘B’ for extension of time and the Regional Director may consider the application and pass ord</w:t>
      </w:r>
      <w:r>
        <w:rPr>
          <w:rFonts w:ascii="Verdana" w:hAnsi="Verdana" w:cs="Verdana"/>
          <w:sz w:val="24"/>
          <w:szCs w:val="24"/>
        </w:rPr>
        <w:t xml:space="preserve">ers within 30 days of receipt of the application.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5" w:lineRule="exact"/>
        <w:rPr>
          <w:rFonts w:ascii="Verdana" w:hAnsi="Verdana" w:cs="Verdana"/>
          <w:sz w:val="24"/>
          <w:szCs w:val="24"/>
        </w:rPr>
      </w:pPr>
    </w:p>
    <w:p w:rsidR="00000000" w:rsidRDefault="004D7F71">
      <w:pPr>
        <w:pStyle w:val="DefaultParagraphFont"/>
        <w:widowControl w:val="0"/>
        <w:numPr>
          <w:ilvl w:val="0"/>
          <w:numId w:val="9"/>
        </w:numPr>
        <w:tabs>
          <w:tab w:val="clear" w:pos="720"/>
          <w:tab w:val="num" w:pos="516"/>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If the failure to comply with sub-rule</w:t>
      </w:r>
      <w:r>
        <w:rPr>
          <w:rFonts w:ascii="Verdana" w:hAnsi="Verdana" w:cs="Verdana"/>
          <w:sz w:val="24"/>
          <w:szCs w:val="24"/>
        </w:rPr>
        <w:t xml:space="preserve"> (i) of this Rule extends beyond the second financial year, the Nidhi shall not accept any further deposits from the commencement of the second financial year until clauses (a) and (d) of sub-rule (i) of this rule are complied with, besides being liable fo</w:t>
      </w:r>
      <w:r>
        <w:rPr>
          <w:rFonts w:ascii="Verdana" w:hAnsi="Verdana" w:cs="Verdana"/>
          <w:sz w:val="24"/>
          <w:szCs w:val="24"/>
        </w:rPr>
        <w:t xml:space="preserve">r penal consequences as provided in the Act.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7" w:lineRule="exact"/>
        <w:rPr>
          <w:rFonts w:ascii="Times New Roman" w:hAnsi="Times New Roman" w:cs="Times New Roman"/>
          <w:sz w:val="24"/>
          <w:szCs w:val="24"/>
        </w:rPr>
      </w:pPr>
    </w:p>
    <w:p w:rsidR="00000000" w:rsidRDefault="004D7F71">
      <w:pPr>
        <w:pStyle w:val="DefaultParagraphFont"/>
        <w:widowControl w:val="0"/>
        <w:numPr>
          <w:ilvl w:val="0"/>
          <w:numId w:val="10"/>
        </w:numPr>
        <w:tabs>
          <w:tab w:val="clear" w:pos="720"/>
          <w:tab w:val="num" w:pos="740"/>
        </w:tabs>
        <w:overflowPunct w:val="0"/>
        <w:autoSpaceDE w:val="0"/>
        <w:autoSpaceDN w:val="0"/>
        <w:adjustRightInd w:val="0"/>
        <w:spacing w:after="0" w:line="240" w:lineRule="auto"/>
        <w:ind w:left="740" w:hanging="740"/>
        <w:jc w:val="both"/>
        <w:rPr>
          <w:rFonts w:ascii="Verdana" w:hAnsi="Verdana" w:cs="Verdana"/>
          <w:b/>
          <w:bCs/>
          <w:sz w:val="24"/>
          <w:szCs w:val="24"/>
        </w:rPr>
      </w:pPr>
      <w:r>
        <w:rPr>
          <w:rFonts w:ascii="Verdana" w:hAnsi="Verdana" w:cs="Verdana"/>
          <w:b/>
          <w:bCs/>
          <w:sz w:val="24"/>
          <w:szCs w:val="24"/>
        </w:rPr>
        <w:t xml:space="preserve">General restrictions/prohibitions </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No Nidhi shall-</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F71">
      <w:pPr>
        <w:pStyle w:val="DefaultParagraphFont"/>
        <w:widowControl w:val="0"/>
        <w:numPr>
          <w:ilvl w:val="0"/>
          <w:numId w:val="11"/>
        </w:numPr>
        <w:tabs>
          <w:tab w:val="clear" w:pos="720"/>
          <w:tab w:val="num" w:pos="377"/>
        </w:tabs>
        <w:overflowPunct w:val="0"/>
        <w:autoSpaceDE w:val="0"/>
        <w:autoSpaceDN w:val="0"/>
        <w:adjustRightInd w:val="0"/>
        <w:spacing w:after="0" w:line="216" w:lineRule="auto"/>
        <w:ind w:left="0" w:firstLine="0"/>
        <w:jc w:val="both"/>
        <w:rPr>
          <w:rFonts w:ascii="Verdana" w:hAnsi="Verdana" w:cs="Verdana"/>
          <w:sz w:val="24"/>
          <w:szCs w:val="24"/>
        </w:rPr>
      </w:pPr>
      <w:r>
        <w:rPr>
          <w:rFonts w:ascii="Verdana" w:hAnsi="Verdana" w:cs="Verdana"/>
          <w:sz w:val="24"/>
          <w:szCs w:val="24"/>
        </w:rPr>
        <w:t>carry on the business of chit fund, hire purchase finance, leasing finance, insu</w:t>
      </w:r>
      <w:r>
        <w:rPr>
          <w:rFonts w:ascii="Verdana" w:hAnsi="Verdana" w:cs="Verdana"/>
          <w:sz w:val="24"/>
          <w:szCs w:val="24"/>
        </w:rPr>
        <w:t xml:space="preserve">rance or acquisition of securities issued by any body corporate.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11"/>
        </w:numPr>
        <w:tabs>
          <w:tab w:val="clear" w:pos="720"/>
          <w:tab w:val="num" w:pos="437"/>
        </w:tabs>
        <w:overflowPunct w:val="0"/>
        <w:autoSpaceDE w:val="0"/>
        <w:autoSpaceDN w:val="0"/>
        <w:adjustRightInd w:val="0"/>
        <w:spacing w:after="0" w:line="216" w:lineRule="auto"/>
        <w:ind w:left="0" w:firstLine="0"/>
        <w:jc w:val="both"/>
        <w:rPr>
          <w:rFonts w:ascii="Verdana" w:hAnsi="Verdana" w:cs="Verdana"/>
          <w:sz w:val="24"/>
          <w:szCs w:val="24"/>
        </w:rPr>
      </w:pPr>
      <w:r>
        <w:rPr>
          <w:rFonts w:ascii="Verdana" w:hAnsi="Verdana" w:cs="Verdana"/>
          <w:sz w:val="24"/>
          <w:szCs w:val="24"/>
        </w:rPr>
        <w:t xml:space="preserve">issue preference shares, debentures or any other debt instrument by any name or in any form whatsoever. </w:t>
      </w:r>
    </w:p>
    <w:p w:rsidR="00000000" w:rsidRDefault="004D7F71">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D7F71">
      <w:pPr>
        <w:pStyle w:val="DefaultParagraphFont"/>
        <w:widowControl w:val="0"/>
        <w:numPr>
          <w:ilvl w:val="0"/>
          <w:numId w:val="11"/>
        </w:numPr>
        <w:tabs>
          <w:tab w:val="clear" w:pos="720"/>
          <w:tab w:val="num" w:pos="500"/>
        </w:tabs>
        <w:overflowPunct w:val="0"/>
        <w:autoSpaceDE w:val="0"/>
        <w:autoSpaceDN w:val="0"/>
        <w:adjustRightInd w:val="0"/>
        <w:spacing w:after="0" w:line="240" w:lineRule="auto"/>
        <w:ind w:left="500" w:hanging="500"/>
        <w:jc w:val="both"/>
        <w:rPr>
          <w:rFonts w:ascii="Verdana" w:hAnsi="Verdana" w:cs="Verdana"/>
          <w:sz w:val="24"/>
          <w:szCs w:val="24"/>
        </w:rPr>
      </w:pPr>
      <w:r>
        <w:rPr>
          <w:rFonts w:ascii="Verdana" w:hAnsi="Verdana" w:cs="Verdana"/>
          <w:sz w:val="24"/>
          <w:szCs w:val="24"/>
        </w:rPr>
        <w:t xml:space="preserve">open any current account with its members;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11"/>
        </w:numPr>
        <w:tabs>
          <w:tab w:val="clear" w:pos="720"/>
          <w:tab w:val="num" w:pos="588"/>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acquire another com</w:t>
      </w:r>
      <w:r>
        <w:rPr>
          <w:rFonts w:ascii="Verdana" w:hAnsi="Verdana" w:cs="Verdana"/>
          <w:sz w:val="24"/>
          <w:szCs w:val="24"/>
        </w:rPr>
        <w:t xml:space="preserve">pany by purchase of securities or control the composition of the Board of directors of any other company in any manner </w:t>
      </w:r>
    </w:p>
    <w:p w:rsidR="00000000" w:rsidRDefault="004D7F71">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000000" w:rsidRDefault="004D7F71">
      <w:pPr>
        <w:pStyle w:val="DefaultParagraphFont"/>
        <w:widowControl w:val="0"/>
        <w:tabs>
          <w:tab w:val="left" w:pos="1620"/>
        </w:tabs>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whatsoever</w:t>
      </w:r>
      <w:r>
        <w:rPr>
          <w:rFonts w:ascii="Times New Roman" w:hAnsi="Times New Roman" w:cs="Times New Roman"/>
          <w:sz w:val="24"/>
          <w:szCs w:val="24"/>
        </w:rPr>
        <w:tab/>
      </w:r>
      <w:r>
        <w:rPr>
          <w:rFonts w:ascii="Verdana" w:hAnsi="Verdana" w:cs="Verdana"/>
          <w:sz w:val="24"/>
          <w:szCs w:val="24"/>
        </w:rPr>
        <w:t>or  enter  into  any  arrangement  for  the  change  of  its</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5" w:name="page5"/>
      <w:bookmarkEnd w:id="5"/>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left="91"/>
        <w:jc w:val="both"/>
        <w:rPr>
          <w:rFonts w:ascii="Times New Roman" w:hAnsi="Times New Roman" w:cs="Times New Roman"/>
          <w:sz w:val="24"/>
          <w:szCs w:val="24"/>
        </w:rPr>
      </w:pPr>
      <w:r>
        <w:rPr>
          <w:rFonts w:ascii="Verdana" w:hAnsi="Verdana" w:cs="Verdana"/>
          <w:sz w:val="24"/>
          <w:szCs w:val="24"/>
        </w:rPr>
        <w:t>management, unless it has passed a special resolution in its general meeting and also obtained the previous approval of the Central Government.</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ind w:left="91"/>
        <w:jc w:val="both"/>
        <w:rPr>
          <w:rFonts w:ascii="Times New Roman" w:hAnsi="Times New Roman" w:cs="Times New Roman"/>
          <w:sz w:val="24"/>
          <w:szCs w:val="24"/>
        </w:rPr>
      </w:pPr>
      <w:r>
        <w:rPr>
          <w:rFonts w:ascii="Verdana" w:hAnsi="Verdana" w:cs="Verdana"/>
          <w:sz w:val="24"/>
          <w:szCs w:val="24"/>
        </w:rPr>
        <w:t>Explanation: For the purposes of this sub-rule, “control” means control as defined in sub-se</w:t>
      </w:r>
      <w:r>
        <w:rPr>
          <w:rFonts w:ascii="Verdana" w:hAnsi="Verdana" w:cs="Verdana"/>
          <w:sz w:val="24"/>
          <w:szCs w:val="24"/>
        </w:rPr>
        <w:t>ction (27) of section 2 of the Act and “Central Government” means the Regional Director having jurisdiction over the Nidhi.</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left="91"/>
        <w:jc w:val="both"/>
        <w:rPr>
          <w:rFonts w:ascii="Times New Roman" w:hAnsi="Times New Roman" w:cs="Times New Roman"/>
          <w:sz w:val="24"/>
          <w:szCs w:val="24"/>
        </w:rPr>
      </w:pPr>
      <w:r>
        <w:rPr>
          <w:rFonts w:ascii="Verdana" w:hAnsi="Verdana" w:cs="Verdana"/>
          <w:sz w:val="24"/>
          <w:szCs w:val="24"/>
        </w:rPr>
        <w:t>(v) carry on any business other than the business of borrowing or lending in its own name.</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8" w:lineRule="auto"/>
        <w:ind w:left="91"/>
        <w:jc w:val="both"/>
        <w:rPr>
          <w:rFonts w:ascii="Times New Roman" w:hAnsi="Times New Roman" w:cs="Times New Roman"/>
          <w:sz w:val="24"/>
          <w:szCs w:val="24"/>
        </w:rPr>
      </w:pPr>
      <w:r>
        <w:rPr>
          <w:rFonts w:ascii="Verdana" w:hAnsi="Verdana" w:cs="Verdana"/>
          <w:sz w:val="24"/>
          <w:szCs w:val="24"/>
        </w:rPr>
        <w:t>Provided that Nidhis which have adhered</w:t>
      </w:r>
      <w:r>
        <w:rPr>
          <w:rFonts w:ascii="Verdana" w:hAnsi="Verdana" w:cs="Verdana"/>
          <w:sz w:val="24"/>
          <w:szCs w:val="24"/>
        </w:rPr>
        <w:t xml:space="preserve"> to all the provisions of these rules may provide locker facilities on rent to its members subject to the rental income from such facilities not exceeding 20% of the gross income of the Nidhi at any point of time during a financial year.</w:t>
      </w: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numPr>
          <w:ilvl w:val="0"/>
          <w:numId w:val="12"/>
        </w:numPr>
        <w:tabs>
          <w:tab w:val="clear" w:pos="720"/>
          <w:tab w:val="num" w:pos="691"/>
        </w:tabs>
        <w:overflowPunct w:val="0"/>
        <w:autoSpaceDE w:val="0"/>
        <w:autoSpaceDN w:val="0"/>
        <w:adjustRightInd w:val="0"/>
        <w:spacing w:after="0" w:line="240" w:lineRule="auto"/>
        <w:ind w:left="691" w:hanging="600"/>
        <w:jc w:val="both"/>
        <w:rPr>
          <w:rFonts w:ascii="Verdana" w:hAnsi="Verdana" w:cs="Verdana"/>
          <w:sz w:val="24"/>
          <w:szCs w:val="24"/>
        </w:rPr>
      </w:pPr>
      <w:r>
        <w:rPr>
          <w:rFonts w:ascii="Verdana" w:hAnsi="Verdana" w:cs="Verdana"/>
          <w:sz w:val="24"/>
          <w:szCs w:val="24"/>
        </w:rPr>
        <w:t>accept depo</w:t>
      </w:r>
      <w:r>
        <w:rPr>
          <w:rFonts w:ascii="Verdana" w:hAnsi="Verdana" w:cs="Verdana"/>
          <w:sz w:val="24"/>
          <w:szCs w:val="24"/>
        </w:rPr>
        <w:t xml:space="preserve">sits from or lend to any person, other than its members. </w:t>
      </w:r>
    </w:p>
    <w:p w:rsidR="00000000" w:rsidRDefault="004D7F71">
      <w:pPr>
        <w:pStyle w:val="DefaultParagraphFont"/>
        <w:widowControl w:val="0"/>
        <w:autoSpaceDE w:val="0"/>
        <w:autoSpaceDN w:val="0"/>
        <w:adjustRightInd w:val="0"/>
        <w:spacing w:after="0" w:line="291" w:lineRule="exact"/>
        <w:rPr>
          <w:rFonts w:ascii="Verdana" w:hAnsi="Verdana" w:cs="Verdana"/>
          <w:sz w:val="24"/>
          <w:szCs w:val="24"/>
        </w:rPr>
      </w:pPr>
    </w:p>
    <w:p w:rsidR="00000000" w:rsidRDefault="004D7F71">
      <w:pPr>
        <w:pStyle w:val="DefaultParagraphFont"/>
        <w:widowControl w:val="0"/>
        <w:numPr>
          <w:ilvl w:val="0"/>
          <w:numId w:val="12"/>
        </w:numPr>
        <w:tabs>
          <w:tab w:val="clear" w:pos="720"/>
          <w:tab w:val="num" w:pos="831"/>
        </w:tabs>
        <w:overflowPunct w:val="0"/>
        <w:autoSpaceDE w:val="0"/>
        <w:autoSpaceDN w:val="0"/>
        <w:adjustRightInd w:val="0"/>
        <w:spacing w:after="0" w:line="240" w:lineRule="auto"/>
        <w:ind w:left="831" w:hanging="740"/>
        <w:jc w:val="both"/>
        <w:rPr>
          <w:rFonts w:ascii="Verdana" w:hAnsi="Verdana" w:cs="Verdana"/>
          <w:sz w:val="24"/>
          <w:szCs w:val="24"/>
        </w:rPr>
      </w:pPr>
      <w:r>
        <w:rPr>
          <w:rFonts w:ascii="Verdana" w:hAnsi="Verdana" w:cs="Verdana"/>
          <w:sz w:val="24"/>
          <w:szCs w:val="24"/>
        </w:rPr>
        <w:t xml:space="preserve">pledge any of the assets lodged by its members as security. </w:t>
      </w:r>
    </w:p>
    <w:p w:rsidR="00000000" w:rsidRDefault="004D7F71">
      <w:pPr>
        <w:pStyle w:val="DefaultParagraphFont"/>
        <w:widowControl w:val="0"/>
        <w:autoSpaceDE w:val="0"/>
        <w:autoSpaceDN w:val="0"/>
        <w:adjustRightInd w:val="0"/>
        <w:spacing w:after="0" w:line="291" w:lineRule="exact"/>
        <w:rPr>
          <w:rFonts w:ascii="Verdana" w:hAnsi="Verdana" w:cs="Verdana"/>
          <w:sz w:val="24"/>
          <w:szCs w:val="24"/>
        </w:rPr>
      </w:pPr>
    </w:p>
    <w:p w:rsidR="00000000" w:rsidRDefault="004D7F71">
      <w:pPr>
        <w:pStyle w:val="DefaultParagraphFont"/>
        <w:widowControl w:val="0"/>
        <w:numPr>
          <w:ilvl w:val="0"/>
          <w:numId w:val="12"/>
        </w:numPr>
        <w:tabs>
          <w:tab w:val="clear" w:pos="720"/>
          <w:tab w:val="num" w:pos="811"/>
        </w:tabs>
        <w:overflowPunct w:val="0"/>
        <w:autoSpaceDE w:val="0"/>
        <w:autoSpaceDN w:val="0"/>
        <w:adjustRightInd w:val="0"/>
        <w:spacing w:after="0" w:line="240" w:lineRule="auto"/>
        <w:ind w:left="811" w:hanging="720"/>
        <w:jc w:val="both"/>
        <w:rPr>
          <w:rFonts w:ascii="Verdana" w:hAnsi="Verdana" w:cs="Verdana"/>
          <w:sz w:val="24"/>
          <w:szCs w:val="24"/>
        </w:rPr>
      </w:pPr>
      <w:r>
        <w:rPr>
          <w:rFonts w:ascii="Verdana" w:hAnsi="Verdana" w:cs="Verdana"/>
          <w:sz w:val="24"/>
          <w:szCs w:val="24"/>
        </w:rPr>
        <w:t xml:space="preserve">take deposits from or lend money to any body corporate.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12"/>
        </w:numPr>
        <w:tabs>
          <w:tab w:val="clear" w:pos="720"/>
          <w:tab w:val="num" w:pos="830"/>
        </w:tabs>
        <w:overflowPunct w:val="0"/>
        <w:autoSpaceDE w:val="0"/>
        <w:autoSpaceDN w:val="0"/>
        <w:adjustRightInd w:val="0"/>
        <w:spacing w:after="0" w:line="216" w:lineRule="auto"/>
        <w:ind w:left="91" w:firstLine="0"/>
        <w:jc w:val="both"/>
        <w:rPr>
          <w:rFonts w:ascii="Verdana" w:hAnsi="Verdana" w:cs="Verdana"/>
          <w:sz w:val="24"/>
          <w:szCs w:val="24"/>
        </w:rPr>
      </w:pPr>
      <w:r>
        <w:rPr>
          <w:rFonts w:ascii="Verdana" w:hAnsi="Verdana" w:cs="Verdana"/>
          <w:sz w:val="24"/>
          <w:szCs w:val="24"/>
        </w:rPr>
        <w:t xml:space="preserve">enter into any partnership arrangement in its borrowing or lending activities.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12"/>
        </w:numPr>
        <w:tabs>
          <w:tab w:val="clear" w:pos="720"/>
          <w:tab w:val="num" w:pos="648"/>
        </w:tabs>
        <w:overflowPunct w:val="0"/>
        <w:autoSpaceDE w:val="0"/>
        <w:autoSpaceDN w:val="0"/>
        <w:adjustRightInd w:val="0"/>
        <w:spacing w:after="0" w:line="215" w:lineRule="auto"/>
        <w:ind w:left="91" w:firstLine="0"/>
        <w:jc w:val="both"/>
        <w:rPr>
          <w:rFonts w:ascii="Verdana" w:hAnsi="Verdana" w:cs="Verdana"/>
          <w:sz w:val="24"/>
          <w:szCs w:val="24"/>
        </w:rPr>
      </w:pPr>
      <w:r>
        <w:rPr>
          <w:rFonts w:ascii="Verdana" w:hAnsi="Verdana" w:cs="Verdana"/>
          <w:sz w:val="24"/>
          <w:szCs w:val="24"/>
        </w:rPr>
        <w:t xml:space="preserve">issue or cause to be issued any advertisement in any form for soliciting deposit. </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8" w:lineRule="auto"/>
        <w:ind w:left="91"/>
        <w:jc w:val="both"/>
        <w:rPr>
          <w:rFonts w:ascii="Times New Roman" w:hAnsi="Times New Roman" w:cs="Times New Roman"/>
          <w:sz w:val="24"/>
          <w:szCs w:val="24"/>
        </w:rPr>
      </w:pPr>
      <w:r>
        <w:rPr>
          <w:rFonts w:ascii="Verdana" w:hAnsi="Verdana" w:cs="Verdana"/>
          <w:b/>
          <w:bCs/>
          <w:sz w:val="24"/>
          <w:szCs w:val="24"/>
        </w:rPr>
        <w:t xml:space="preserve">Provided that </w:t>
      </w:r>
      <w:r>
        <w:rPr>
          <w:rFonts w:ascii="Verdana" w:hAnsi="Verdana" w:cs="Verdana"/>
          <w:sz w:val="24"/>
          <w:szCs w:val="24"/>
        </w:rPr>
        <w:t>private circulation of the details of fixed deposit schemes</w:t>
      </w:r>
      <w:r>
        <w:rPr>
          <w:rFonts w:ascii="Verdana" w:hAnsi="Verdana" w:cs="Verdana"/>
          <w:b/>
          <w:bCs/>
          <w:sz w:val="24"/>
          <w:szCs w:val="24"/>
        </w:rPr>
        <w:t xml:space="preserve"> </w:t>
      </w:r>
      <w:r>
        <w:rPr>
          <w:rFonts w:ascii="Verdana" w:hAnsi="Verdana" w:cs="Verdana"/>
          <w:sz w:val="24"/>
          <w:szCs w:val="24"/>
        </w:rPr>
        <w:t>among the me</w:t>
      </w:r>
      <w:r>
        <w:rPr>
          <w:rFonts w:ascii="Verdana" w:hAnsi="Verdana" w:cs="Verdana"/>
          <w:sz w:val="24"/>
          <w:szCs w:val="24"/>
        </w:rPr>
        <w:t>mbers of the Nidhi carrying the words “for private circulation to members only” shall not be considered to be an advertisement for soliciting deposits.</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numPr>
          <w:ilvl w:val="1"/>
          <w:numId w:val="13"/>
        </w:numPr>
        <w:tabs>
          <w:tab w:val="clear" w:pos="1440"/>
          <w:tab w:val="num" w:pos="607"/>
        </w:tabs>
        <w:overflowPunct w:val="0"/>
        <w:autoSpaceDE w:val="0"/>
        <w:autoSpaceDN w:val="0"/>
        <w:adjustRightInd w:val="0"/>
        <w:spacing w:after="0" w:line="216" w:lineRule="auto"/>
        <w:ind w:left="91" w:firstLine="0"/>
        <w:jc w:val="both"/>
        <w:rPr>
          <w:rFonts w:ascii="Verdana" w:hAnsi="Verdana" w:cs="Verdana"/>
          <w:sz w:val="24"/>
          <w:szCs w:val="24"/>
        </w:rPr>
      </w:pPr>
      <w:r>
        <w:rPr>
          <w:rFonts w:ascii="Verdana" w:hAnsi="Verdana" w:cs="Verdana"/>
          <w:sz w:val="24"/>
          <w:szCs w:val="24"/>
        </w:rPr>
        <w:t xml:space="preserve">pay any brokerage or incentive for mobilizing deposits from members or for deployment of funds or for granting loans.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383" w:lineRule="exact"/>
        <w:rPr>
          <w:rFonts w:ascii="Verdana" w:hAnsi="Verdana" w:cs="Verdana"/>
          <w:sz w:val="24"/>
          <w:szCs w:val="24"/>
        </w:rPr>
      </w:pPr>
    </w:p>
    <w:p w:rsidR="00000000" w:rsidRDefault="004D7F71">
      <w:pPr>
        <w:pStyle w:val="DefaultParagraphFont"/>
        <w:widowControl w:val="0"/>
        <w:numPr>
          <w:ilvl w:val="0"/>
          <w:numId w:val="14"/>
        </w:numPr>
        <w:tabs>
          <w:tab w:val="clear" w:pos="720"/>
          <w:tab w:val="num" w:pos="431"/>
        </w:tabs>
        <w:overflowPunct w:val="0"/>
        <w:autoSpaceDE w:val="0"/>
        <w:autoSpaceDN w:val="0"/>
        <w:adjustRightInd w:val="0"/>
        <w:spacing w:after="0" w:line="240" w:lineRule="auto"/>
        <w:ind w:left="431" w:hanging="431"/>
        <w:jc w:val="both"/>
        <w:rPr>
          <w:rFonts w:ascii="Verdana" w:hAnsi="Verdana" w:cs="Verdana"/>
          <w:b/>
          <w:bCs/>
          <w:sz w:val="24"/>
          <w:szCs w:val="24"/>
        </w:rPr>
      </w:pPr>
      <w:r>
        <w:rPr>
          <w:rFonts w:ascii="Verdana" w:hAnsi="Verdana" w:cs="Verdana"/>
          <w:b/>
          <w:bCs/>
          <w:sz w:val="24"/>
          <w:szCs w:val="24"/>
        </w:rPr>
        <w:t>Share capital and allotment</w:t>
      </w:r>
      <w:r>
        <w:rPr>
          <w:rFonts w:ascii="Verdana" w:hAnsi="Verdana" w:cs="Verdana"/>
          <w:sz w:val="24"/>
          <w:szCs w:val="24"/>
        </w:rPr>
        <w:t>:</w:t>
      </w:r>
      <w:r>
        <w:rPr>
          <w:rFonts w:ascii="Verdana" w:hAnsi="Verdana" w:cs="Verdana"/>
          <w:b/>
          <w:bCs/>
          <w:sz w:val="24"/>
          <w:szCs w:val="24"/>
        </w:rPr>
        <w:t xml:space="preserve"> </w:t>
      </w:r>
    </w:p>
    <w:p w:rsidR="00000000" w:rsidRDefault="004D7F71">
      <w:pPr>
        <w:pStyle w:val="DefaultParagraphFont"/>
        <w:widowControl w:val="0"/>
        <w:autoSpaceDE w:val="0"/>
        <w:autoSpaceDN w:val="0"/>
        <w:adjustRightInd w:val="0"/>
        <w:spacing w:after="0" w:line="350" w:lineRule="exact"/>
        <w:rPr>
          <w:rFonts w:ascii="Verdana" w:hAnsi="Verdana" w:cs="Verdana"/>
          <w:b/>
          <w:bCs/>
          <w:sz w:val="24"/>
          <w:szCs w:val="24"/>
        </w:rPr>
      </w:pPr>
    </w:p>
    <w:p w:rsidR="00000000" w:rsidRDefault="004D7F71">
      <w:pPr>
        <w:pStyle w:val="DefaultParagraphFont"/>
        <w:widowControl w:val="0"/>
        <w:numPr>
          <w:ilvl w:val="1"/>
          <w:numId w:val="14"/>
        </w:numPr>
        <w:tabs>
          <w:tab w:val="clear" w:pos="1440"/>
          <w:tab w:val="num" w:pos="669"/>
        </w:tabs>
        <w:overflowPunct w:val="0"/>
        <w:autoSpaceDE w:val="0"/>
        <w:autoSpaceDN w:val="0"/>
        <w:adjustRightInd w:val="0"/>
        <w:spacing w:after="0" w:line="216" w:lineRule="auto"/>
        <w:ind w:left="91" w:right="460" w:firstLine="0"/>
        <w:jc w:val="both"/>
        <w:rPr>
          <w:rFonts w:ascii="Verdana" w:hAnsi="Verdana" w:cs="Verdana"/>
          <w:sz w:val="24"/>
          <w:szCs w:val="24"/>
        </w:rPr>
      </w:pPr>
      <w:r>
        <w:rPr>
          <w:rFonts w:ascii="Verdana" w:hAnsi="Verdana" w:cs="Verdana"/>
          <w:sz w:val="24"/>
          <w:szCs w:val="24"/>
        </w:rPr>
        <w:t xml:space="preserve">Every Nidhi shall issue equity shares of the nominal value of not less than ten rupees each. </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349" w:header="720" w:footer="720" w:gutter="0"/>
          <w:cols w:space="720" w:equalWidth="0">
            <w:col w:w="9451"/>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6" w:name="page6"/>
      <w:bookmarkEnd w:id="6"/>
    </w:p>
    <w:p w:rsidR="00000000" w:rsidRDefault="004D7F71">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4D7F71">
      <w:pPr>
        <w:pStyle w:val="DefaultParagraphFont"/>
        <w:widowControl w:val="0"/>
        <w:numPr>
          <w:ilvl w:val="0"/>
          <w:numId w:val="15"/>
        </w:numPr>
        <w:tabs>
          <w:tab w:val="clear" w:pos="720"/>
          <w:tab w:val="num" w:pos="580"/>
        </w:tabs>
        <w:overflowPunct w:val="0"/>
        <w:autoSpaceDE w:val="0"/>
        <w:autoSpaceDN w:val="0"/>
        <w:adjustRightInd w:val="0"/>
        <w:spacing w:after="0" w:line="240" w:lineRule="auto"/>
        <w:ind w:left="580" w:hanging="580"/>
        <w:jc w:val="both"/>
        <w:rPr>
          <w:rFonts w:ascii="Verdana" w:hAnsi="Verdana" w:cs="Verdana"/>
          <w:sz w:val="24"/>
          <w:szCs w:val="24"/>
        </w:rPr>
      </w:pPr>
      <w:r>
        <w:rPr>
          <w:rFonts w:ascii="Verdana" w:hAnsi="Verdana" w:cs="Verdana"/>
          <w:sz w:val="24"/>
          <w:szCs w:val="24"/>
        </w:rPr>
        <w:t xml:space="preserve">No service charge shall be levied for issue of shares. </w:t>
      </w:r>
    </w:p>
    <w:p w:rsidR="00000000" w:rsidRDefault="004D7F71">
      <w:pPr>
        <w:pStyle w:val="DefaultParagraphFont"/>
        <w:widowControl w:val="0"/>
        <w:autoSpaceDE w:val="0"/>
        <w:autoSpaceDN w:val="0"/>
        <w:adjustRightInd w:val="0"/>
        <w:spacing w:after="0" w:line="349" w:lineRule="exact"/>
        <w:rPr>
          <w:rFonts w:ascii="Verdana" w:hAnsi="Verdana" w:cs="Verdana"/>
          <w:sz w:val="24"/>
          <w:szCs w:val="24"/>
        </w:rPr>
      </w:pPr>
    </w:p>
    <w:p w:rsidR="00000000" w:rsidRDefault="004D7F71">
      <w:pPr>
        <w:pStyle w:val="DefaultParagraphFont"/>
        <w:widowControl w:val="0"/>
        <w:numPr>
          <w:ilvl w:val="0"/>
          <w:numId w:val="15"/>
        </w:numPr>
        <w:tabs>
          <w:tab w:val="clear" w:pos="720"/>
          <w:tab w:val="num" w:pos="662"/>
        </w:tabs>
        <w:overflowPunct w:val="0"/>
        <w:autoSpaceDE w:val="0"/>
        <w:autoSpaceDN w:val="0"/>
        <w:adjustRightInd w:val="0"/>
        <w:spacing w:after="0" w:line="228" w:lineRule="auto"/>
        <w:ind w:left="0" w:firstLine="0"/>
        <w:jc w:val="both"/>
        <w:rPr>
          <w:rFonts w:ascii="Verdana" w:hAnsi="Verdana" w:cs="Verdana"/>
          <w:sz w:val="24"/>
          <w:szCs w:val="24"/>
        </w:rPr>
      </w:pPr>
      <w:r>
        <w:rPr>
          <w:rFonts w:ascii="Verdana" w:hAnsi="Verdana" w:cs="Verdana"/>
          <w:sz w:val="24"/>
          <w:szCs w:val="24"/>
        </w:rPr>
        <w:t xml:space="preserve">A Nidhi shall not make any preferential allotment of shares to any person(s) but may issue further shares and the unsubscribed portion of the issue can be apportioned by the Board of directors in terms of section 62 of the Act.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15"/>
        </w:numPr>
        <w:tabs>
          <w:tab w:val="clear" w:pos="720"/>
          <w:tab w:val="num" w:pos="578"/>
        </w:tabs>
        <w:overflowPunct w:val="0"/>
        <w:autoSpaceDE w:val="0"/>
        <w:autoSpaceDN w:val="0"/>
        <w:adjustRightInd w:val="0"/>
        <w:spacing w:after="0" w:line="215" w:lineRule="auto"/>
        <w:ind w:left="0" w:right="180" w:firstLine="0"/>
        <w:jc w:val="both"/>
        <w:rPr>
          <w:rFonts w:ascii="Verdana" w:hAnsi="Verdana" w:cs="Verdana"/>
          <w:sz w:val="24"/>
          <w:szCs w:val="24"/>
        </w:rPr>
      </w:pPr>
      <w:r>
        <w:rPr>
          <w:rFonts w:ascii="Verdana" w:hAnsi="Verdana" w:cs="Verdana"/>
          <w:sz w:val="24"/>
          <w:szCs w:val="24"/>
        </w:rPr>
        <w:t xml:space="preserve">Every Nidhi shall allot to each deposit holder at least a minimum of ten equity shares or shares equivalent to one hundred rupees: </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ind w:right="300"/>
        <w:rPr>
          <w:rFonts w:ascii="Times New Roman" w:hAnsi="Times New Roman" w:cs="Times New Roman"/>
          <w:sz w:val="24"/>
          <w:szCs w:val="24"/>
        </w:rPr>
      </w:pPr>
      <w:r>
        <w:rPr>
          <w:rFonts w:ascii="Verdana" w:hAnsi="Verdana" w:cs="Verdana"/>
          <w:sz w:val="24"/>
          <w:szCs w:val="24"/>
        </w:rPr>
        <w:t>Provided that the account holders of savings account and recurring deposit only may hold at least one equity share of rupee</w:t>
      </w:r>
      <w:r>
        <w:rPr>
          <w:rFonts w:ascii="Verdana" w:hAnsi="Verdana" w:cs="Verdana"/>
          <w:sz w:val="24"/>
          <w:szCs w:val="24"/>
        </w:rPr>
        <w:t>s ten.</w:t>
      </w: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numPr>
          <w:ilvl w:val="0"/>
          <w:numId w:val="16"/>
        </w:numPr>
        <w:tabs>
          <w:tab w:val="clear" w:pos="720"/>
          <w:tab w:val="num" w:pos="600"/>
        </w:tabs>
        <w:overflowPunct w:val="0"/>
        <w:autoSpaceDE w:val="0"/>
        <w:autoSpaceDN w:val="0"/>
        <w:adjustRightInd w:val="0"/>
        <w:spacing w:after="0" w:line="240" w:lineRule="auto"/>
        <w:ind w:left="600" w:hanging="600"/>
        <w:jc w:val="both"/>
        <w:rPr>
          <w:rFonts w:ascii="Verdana" w:hAnsi="Verdana" w:cs="Verdana"/>
          <w:b/>
          <w:bCs/>
          <w:sz w:val="24"/>
          <w:szCs w:val="24"/>
        </w:rPr>
      </w:pPr>
      <w:r>
        <w:rPr>
          <w:rFonts w:ascii="Verdana" w:hAnsi="Verdana" w:cs="Verdana"/>
          <w:b/>
          <w:bCs/>
          <w:sz w:val="24"/>
          <w:szCs w:val="24"/>
        </w:rPr>
        <w:t xml:space="preserve">Membership </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17"/>
        </w:numPr>
        <w:tabs>
          <w:tab w:val="clear" w:pos="720"/>
          <w:tab w:val="num" w:pos="580"/>
        </w:tabs>
        <w:overflowPunct w:val="0"/>
        <w:autoSpaceDE w:val="0"/>
        <w:autoSpaceDN w:val="0"/>
        <w:adjustRightInd w:val="0"/>
        <w:spacing w:after="0" w:line="240" w:lineRule="auto"/>
        <w:ind w:left="580" w:hanging="580"/>
        <w:jc w:val="both"/>
        <w:rPr>
          <w:rFonts w:ascii="Verdana" w:hAnsi="Verdana" w:cs="Verdana"/>
          <w:sz w:val="24"/>
          <w:szCs w:val="24"/>
        </w:rPr>
      </w:pPr>
      <w:r>
        <w:rPr>
          <w:rFonts w:ascii="Verdana" w:hAnsi="Verdana" w:cs="Verdana"/>
          <w:sz w:val="24"/>
          <w:szCs w:val="24"/>
        </w:rPr>
        <w:t xml:space="preserve">No Nidhi shall admit any body corporate or trust as a member. </w:t>
      </w:r>
    </w:p>
    <w:p w:rsidR="00000000" w:rsidRDefault="004D7F71">
      <w:pPr>
        <w:pStyle w:val="DefaultParagraphFont"/>
        <w:widowControl w:val="0"/>
        <w:autoSpaceDE w:val="0"/>
        <w:autoSpaceDN w:val="0"/>
        <w:adjustRightInd w:val="0"/>
        <w:spacing w:after="0" w:line="349" w:lineRule="exact"/>
        <w:rPr>
          <w:rFonts w:ascii="Verdana" w:hAnsi="Verdana" w:cs="Verdana"/>
          <w:sz w:val="24"/>
          <w:szCs w:val="24"/>
        </w:rPr>
      </w:pPr>
    </w:p>
    <w:p w:rsidR="00000000" w:rsidRDefault="004D7F71">
      <w:pPr>
        <w:pStyle w:val="DefaultParagraphFont"/>
        <w:widowControl w:val="0"/>
        <w:numPr>
          <w:ilvl w:val="0"/>
          <w:numId w:val="17"/>
        </w:numPr>
        <w:tabs>
          <w:tab w:val="clear" w:pos="720"/>
          <w:tab w:val="num" w:pos="578"/>
        </w:tabs>
        <w:overflowPunct w:val="0"/>
        <w:autoSpaceDE w:val="0"/>
        <w:autoSpaceDN w:val="0"/>
        <w:adjustRightInd w:val="0"/>
        <w:spacing w:after="0" w:line="223" w:lineRule="auto"/>
        <w:ind w:left="0" w:firstLine="0"/>
        <w:jc w:val="both"/>
        <w:rPr>
          <w:rFonts w:ascii="Verdana" w:hAnsi="Verdana" w:cs="Verdana"/>
          <w:sz w:val="24"/>
          <w:szCs w:val="24"/>
        </w:rPr>
      </w:pPr>
      <w:r>
        <w:rPr>
          <w:rFonts w:ascii="Verdana" w:hAnsi="Verdana" w:cs="Verdana"/>
          <w:sz w:val="24"/>
          <w:szCs w:val="24"/>
        </w:rPr>
        <w:t xml:space="preserve">Except as otherwise permitted under these Rules, every Nidhi shall ensure that its membership is not reduced to less than two hundred members at any time.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17"/>
        </w:numPr>
        <w:tabs>
          <w:tab w:val="clear" w:pos="720"/>
          <w:tab w:val="num" w:pos="578"/>
        </w:tabs>
        <w:overflowPunct w:val="0"/>
        <w:autoSpaceDE w:val="0"/>
        <w:autoSpaceDN w:val="0"/>
        <w:adjustRightInd w:val="0"/>
        <w:spacing w:after="0" w:line="224" w:lineRule="auto"/>
        <w:ind w:left="0" w:firstLine="0"/>
        <w:jc w:val="both"/>
        <w:rPr>
          <w:rFonts w:ascii="Verdana" w:hAnsi="Verdana" w:cs="Verdana"/>
          <w:sz w:val="24"/>
          <w:szCs w:val="24"/>
        </w:rPr>
      </w:pPr>
      <w:r>
        <w:rPr>
          <w:rFonts w:ascii="Verdana" w:hAnsi="Verdana" w:cs="Verdana"/>
          <w:sz w:val="24"/>
          <w:szCs w:val="24"/>
        </w:rPr>
        <w:t xml:space="preserve">No minor shall be admitted as a member. However, deposits may be accepted in the name of a minor, if they are made by the natural or legal guardian who is a member of the Nidhi.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4D7F71">
      <w:pPr>
        <w:pStyle w:val="DefaultParagraphFont"/>
        <w:widowControl w:val="0"/>
        <w:numPr>
          <w:ilvl w:val="0"/>
          <w:numId w:val="18"/>
        </w:numPr>
        <w:tabs>
          <w:tab w:val="clear" w:pos="720"/>
          <w:tab w:val="num" w:pos="680"/>
        </w:tabs>
        <w:overflowPunct w:val="0"/>
        <w:autoSpaceDE w:val="0"/>
        <w:autoSpaceDN w:val="0"/>
        <w:adjustRightInd w:val="0"/>
        <w:spacing w:after="0" w:line="240" w:lineRule="auto"/>
        <w:ind w:left="680" w:hanging="680"/>
        <w:jc w:val="both"/>
        <w:rPr>
          <w:rFonts w:ascii="Verdana" w:hAnsi="Verdana" w:cs="Verdana"/>
          <w:b/>
          <w:bCs/>
          <w:sz w:val="24"/>
          <w:szCs w:val="24"/>
        </w:rPr>
      </w:pPr>
      <w:r>
        <w:rPr>
          <w:rFonts w:ascii="Verdana" w:hAnsi="Verdana" w:cs="Verdana"/>
          <w:b/>
          <w:bCs/>
          <w:sz w:val="24"/>
          <w:szCs w:val="24"/>
        </w:rPr>
        <w:t xml:space="preserve">Net owned Funds: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Verdana" w:hAnsi="Verdana" w:cs="Verdana"/>
          <w:sz w:val="24"/>
          <w:szCs w:val="24"/>
        </w:rPr>
        <w:t xml:space="preserve">Every Nidhi shall maintain Net Owned Funds </w:t>
      </w:r>
      <w:r>
        <w:rPr>
          <w:rFonts w:ascii="Verdana" w:hAnsi="Verdana" w:cs="Verdana"/>
          <w:sz w:val="24"/>
          <w:szCs w:val="24"/>
        </w:rPr>
        <w:t>(excluding the proceeds of any preference share capital) of not less than ten lakh rupees or such higher amount as the Central Government may specify from time to time.</w:t>
      </w:r>
    </w:p>
    <w:p w:rsidR="00000000" w:rsidRDefault="004D7F71">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4D7F71">
      <w:pPr>
        <w:pStyle w:val="DefaultParagraphFont"/>
        <w:widowControl w:val="0"/>
        <w:tabs>
          <w:tab w:val="left" w:pos="640"/>
        </w:tabs>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11</w:t>
      </w:r>
      <w:r>
        <w:rPr>
          <w:rFonts w:ascii="Times New Roman" w:hAnsi="Times New Roman" w:cs="Times New Roman"/>
          <w:sz w:val="24"/>
          <w:szCs w:val="24"/>
        </w:rPr>
        <w:tab/>
      </w:r>
      <w:r>
        <w:rPr>
          <w:rFonts w:ascii="Verdana" w:hAnsi="Verdana" w:cs="Verdana"/>
          <w:b/>
          <w:bCs/>
          <w:sz w:val="24"/>
          <w:szCs w:val="24"/>
        </w:rPr>
        <w:t>Branches:</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numPr>
          <w:ilvl w:val="0"/>
          <w:numId w:val="19"/>
        </w:numPr>
        <w:tabs>
          <w:tab w:val="clear" w:pos="720"/>
          <w:tab w:val="num" w:pos="662"/>
        </w:tabs>
        <w:overflowPunct w:val="0"/>
        <w:autoSpaceDE w:val="0"/>
        <w:autoSpaceDN w:val="0"/>
        <w:adjustRightInd w:val="0"/>
        <w:spacing w:after="0" w:line="216" w:lineRule="auto"/>
        <w:ind w:left="0" w:firstLine="0"/>
        <w:jc w:val="both"/>
        <w:rPr>
          <w:rFonts w:ascii="Verdana" w:hAnsi="Verdana" w:cs="Verdana"/>
          <w:sz w:val="24"/>
          <w:szCs w:val="24"/>
        </w:rPr>
      </w:pPr>
      <w:r>
        <w:rPr>
          <w:rFonts w:ascii="Verdana" w:hAnsi="Verdana" w:cs="Verdana"/>
          <w:sz w:val="24"/>
          <w:szCs w:val="24"/>
        </w:rPr>
        <w:t xml:space="preserve">A Nidhi may open branches, only if it has earned net profits after tax continuously during the preceding three financial years.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382" w:lineRule="exact"/>
        <w:rPr>
          <w:rFonts w:ascii="Verdana" w:hAnsi="Verdana" w:cs="Verdana"/>
          <w:sz w:val="24"/>
          <w:szCs w:val="24"/>
        </w:rPr>
      </w:pPr>
    </w:p>
    <w:p w:rsidR="00000000" w:rsidRDefault="004D7F71">
      <w:pPr>
        <w:pStyle w:val="DefaultParagraphFont"/>
        <w:widowControl w:val="0"/>
        <w:numPr>
          <w:ilvl w:val="0"/>
          <w:numId w:val="19"/>
        </w:numPr>
        <w:tabs>
          <w:tab w:val="clear" w:pos="720"/>
          <w:tab w:val="num" w:pos="580"/>
        </w:tabs>
        <w:overflowPunct w:val="0"/>
        <w:autoSpaceDE w:val="0"/>
        <w:autoSpaceDN w:val="0"/>
        <w:adjustRightInd w:val="0"/>
        <w:spacing w:after="0" w:line="240" w:lineRule="auto"/>
        <w:ind w:left="580" w:hanging="580"/>
        <w:jc w:val="both"/>
        <w:rPr>
          <w:rFonts w:ascii="Verdana" w:hAnsi="Verdana" w:cs="Verdana"/>
          <w:sz w:val="24"/>
          <w:szCs w:val="24"/>
        </w:rPr>
      </w:pPr>
      <w:r>
        <w:rPr>
          <w:rFonts w:ascii="Verdana" w:hAnsi="Verdana" w:cs="Verdana"/>
          <w:sz w:val="24"/>
          <w:szCs w:val="24"/>
        </w:rPr>
        <w:t xml:space="preserve">Subject to compliance with the aforesaid sub-rule: </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7" w:name="page7"/>
      <w:bookmarkEnd w:id="7"/>
    </w:p>
    <w:p w:rsidR="00000000" w:rsidRDefault="004D7F71">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sz w:val="24"/>
          <w:szCs w:val="24"/>
        </w:rPr>
        <w:t>(a)  A Nidhi may open up to three branches within the district.</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tbl>
      <w:tblPr>
        <w:tblW w:w="0" w:type="auto"/>
        <w:tblInd w:w="580" w:type="dxa"/>
        <w:tblLayout w:type="fixed"/>
        <w:tblCellMar>
          <w:left w:w="0" w:type="dxa"/>
          <w:right w:w="0" w:type="dxa"/>
        </w:tblCellMar>
        <w:tblLook w:val="0000" w:firstRow="0" w:lastRow="0" w:firstColumn="0" w:lastColumn="0" w:noHBand="0" w:noVBand="0"/>
      </w:tblPr>
      <w:tblGrid>
        <w:gridCol w:w="2900"/>
        <w:gridCol w:w="4620"/>
        <w:gridCol w:w="1260"/>
      </w:tblGrid>
      <w:tr w:rsidR="00000000">
        <w:tblPrEx>
          <w:tblCellMar>
            <w:top w:w="0" w:type="dxa"/>
            <w:left w:w="0" w:type="dxa"/>
            <w:bottom w:w="0" w:type="dxa"/>
            <w:right w:w="0" w:type="dxa"/>
          </w:tblCellMar>
        </w:tblPrEx>
        <w:trPr>
          <w:trHeight w:val="292"/>
        </w:trPr>
        <w:tc>
          <w:tcPr>
            <w:tcW w:w="29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(b) If a Nidhi proposes</w:t>
            </w:r>
          </w:p>
        </w:tc>
        <w:tc>
          <w:tcPr>
            <w:tcW w:w="462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Verdana" w:hAnsi="Verdana" w:cs="Verdana"/>
                <w:sz w:val="24"/>
                <w:szCs w:val="24"/>
              </w:rPr>
              <w:t>to open more than three branches</w:t>
            </w:r>
          </w:p>
        </w:tc>
        <w:tc>
          <w:tcPr>
            <w:tcW w:w="126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Verdana" w:hAnsi="Verdana" w:cs="Verdana"/>
                <w:sz w:val="24"/>
                <w:szCs w:val="24"/>
              </w:rPr>
              <w:t>within the</w:t>
            </w:r>
          </w:p>
        </w:tc>
      </w:tr>
      <w:tr w:rsidR="00000000">
        <w:tblPrEx>
          <w:tblCellMar>
            <w:top w:w="0" w:type="dxa"/>
            <w:left w:w="0" w:type="dxa"/>
            <w:bottom w:w="0" w:type="dxa"/>
            <w:right w:w="0" w:type="dxa"/>
          </w:tblCellMar>
        </w:tblPrEx>
        <w:trPr>
          <w:trHeight w:val="293"/>
        </w:trPr>
        <w:tc>
          <w:tcPr>
            <w:tcW w:w="29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district  or  any  branch</w:t>
            </w:r>
          </w:p>
        </w:tc>
        <w:tc>
          <w:tcPr>
            <w:tcW w:w="462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Verdana" w:hAnsi="Verdana" w:cs="Verdana"/>
                <w:sz w:val="24"/>
                <w:szCs w:val="24"/>
              </w:rPr>
              <w:t>outside  the  district,  it  shall  obtain</w:t>
            </w:r>
          </w:p>
        </w:tc>
        <w:tc>
          <w:tcPr>
            <w:tcW w:w="126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Verdana" w:hAnsi="Verdana" w:cs="Verdana"/>
                <w:sz w:val="24"/>
                <w:szCs w:val="24"/>
              </w:rPr>
              <w:t>the  prior</w:t>
            </w:r>
          </w:p>
        </w:tc>
      </w:tr>
    </w:tbl>
    <w:p w:rsidR="00000000" w:rsidRDefault="004D7F71">
      <w:pPr>
        <w:pStyle w:val="DefaultParagraphFont"/>
        <w:widowControl w:val="0"/>
        <w:autoSpaceDE w:val="0"/>
        <w:autoSpaceDN w:val="0"/>
        <w:adjustRightInd w:val="0"/>
        <w:spacing w:after="0" w:line="238" w:lineRule="auto"/>
        <w:ind w:left="580"/>
        <w:rPr>
          <w:rFonts w:ascii="Times New Roman" w:hAnsi="Times New Roman" w:cs="Times New Roman"/>
          <w:sz w:val="24"/>
          <w:szCs w:val="24"/>
        </w:rPr>
      </w:pPr>
      <w:r>
        <w:rPr>
          <w:rFonts w:ascii="Verdana" w:hAnsi="Verdana" w:cs="Verdana"/>
          <w:sz w:val="24"/>
          <w:szCs w:val="24"/>
        </w:rPr>
        <w:t>permission of the Regional Director.</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numPr>
          <w:ilvl w:val="0"/>
          <w:numId w:val="20"/>
        </w:numPr>
        <w:tabs>
          <w:tab w:val="clear" w:pos="720"/>
          <w:tab w:val="num" w:pos="578"/>
        </w:tabs>
        <w:overflowPunct w:val="0"/>
        <w:autoSpaceDE w:val="0"/>
        <w:autoSpaceDN w:val="0"/>
        <w:adjustRightInd w:val="0"/>
        <w:spacing w:after="0" w:line="223" w:lineRule="auto"/>
        <w:ind w:left="0" w:right="120" w:firstLine="0"/>
        <w:jc w:val="both"/>
        <w:rPr>
          <w:rFonts w:ascii="Verdana" w:hAnsi="Verdana" w:cs="Verdana"/>
          <w:sz w:val="24"/>
          <w:szCs w:val="24"/>
        </w:rPr>
      </w:pPr>
      <w:r>
        <w:rPr>
          <w:rFonts w:ascii="Verdana" w:hAnsi="Verdana" w:cs="Verdana"/>
          <w:sz w:val="24"/>
          <w:szCs w:val="24"/>
        </w:rPr>
        <w:t xml:space="preserve">No Nidhi shall open branches or collection centres or offices or deposit centres, or by whatever name called outside the State where its registered office is situated.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20"/>
        </w:numPr>
        <w:tabs>
          <w:tab w:val="clear" w:pos="720"/>
          <w:tab w:val="num" w:pos="662"/>
        </w:tabs>
        <w:overflowPunct w:val="0"/>
        <w:autoSpaceDE w:val="0"/>
        <w:autoSpaceDN w:val="0"/>
        <w:adjustRightInd w:val="0"/>
        <w:spacing w:after="0" w:line="224" w:lineRule="auto"/>
        <w:ind w:left="0" w:right="120" w:firstLine="0"/>
        <w:jc w:val="both"/>
        <w:rPr>
          <w:rFonts w:ascii="Verdana" w:hAnsi="Verdana" w:cs="Verdana"/>
          <w:sz w:val="24"/>
          <w:szCs w:val="24"/>
        </w:rPr>
      </w:pPr>
      <w:r>
        <w:rPr>
          <w:rFonts w:ascii="Verdana" w:hAnsi="Verdana" w:cs="Verdana"/>
          <w:sz w:val="24"/>
          <w:szCs w:val="24"/>
        </w:rPr>
        <w:t xml:space="preserve">No Nidhi shall open branches or collection centres or offices or deposit </w:t>
      </w:r>
      <w:r>
        <w:rPr>
          <w:rFonts w:ascii="Verdana" w:hAnsi="Verdana" w:cs="Verdana"/>
          <w:sz w:val="24"/>
          <w:szCs w:val="24"/>
        </w:rPr>
        <w:t xml:space="preserve">centres, or by whatever name called unless financial statement and annual return (up to date) are filed with the Registrar.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F71">
      <w:pPr>
        <w:pStyle w:val="DefaultParagraphFont"/>
        <w:widowControl w:val="0"/>
        <w:numPr>
          <w:ilvl w:val="0"/>
          <w:numId w:val="21"/>
        </w:numPr>
        <w:tabs>
          <w:tab w:val="clear" w:pos="720"/>
          <w:tab w:val="num" w:pos="920"/>
        </w:tabs>
        <w:overflowPunct w:val="0"/>
        <w:autoSpaceDE w:val="0"/>
        <w:autoSpaceDN w:val="0"/>
        <w:adjustRightInd w:val="0"/>
        <w:spacing w:after="0" w:line="240" w:lineRule="auto"/>
        <w:ind w:left="920" w:hanging="920"/>
        <w:jc w:val="both"/>
        <w:rPr>
          <w:rFonts w:ascii="Verdana" w:hAnsi="Verdana" w:cs="Verdana"/>
          <w:b/>
          <w:bCs/>
          <w:sz w:val="24"/>
          <w:szCs w:val="24"/>
        </w:rPr>
      </w:pPr>
      <w:r>
        <w:rPr>
          <w:rFonts w:ascii="Verdana" w:hAnsi="Verdana" w:cs="Verdana"/>
          <w:b/>
          <w:bCs/>
          <w:sz w:val="24"/>
          <w:szCs w:val="24"/>
        </w:rPr>
        <w:t xml:space="preserve">Acceptance of Deposits by Nidhis: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numPr>
          <w:ilvl w:val="0"/>
          <w:numId w:val="22"/>
        </w:numPr>
        <w:tabs>
          <w:tab w:val="clear" w:pos="720"/>
          <w:tab w:val="num" w:pos="367"/>
        </w:tabs>
        <w:overflowPunct w:val="0"/>
        <w:autoSpaceDE w:val="0"/>
        <w:autoSpaceDN w:val="0"/>
        <w:adjustRightInd w:val="0"/>
        <w:spacing w:after="0" w:line="216" w:lineRule="auto"/>
        <w:ind w:left="0" w:right="120" w:firstLine="0"/>
        <w:jc w:val="both"/>
        <w:rPr>
          <w:rFonts w:ascii="Verdana" w:hAnsi="Verdana" w:cs="Verdana"/>
          <w:sz w:val="24"/>
          <w:szCs w:val="24"/>
        </w:rPr>
      </w:pPr>
      <w:r>
        <w:rPr>
          <w:rFonts w:ascii="Verdana" w:hAnsi="Verdana" w:cs="Verdana"/>
          <w:sz w:val="24"/>
          <w:szCs w:val="24"/>
        </w:rPr>
        <w:t>A Nidhi shall not accept deposits exceeding twenty times of its Net Owned Funds (NO</w:t>
      </w:r>
      <w:r>
        <w:rPr>
          <w:rFonts w:ascii="Verdana" w:hAnsi="Verdana" w:cs="Verdana"/>
          <w:sz w:val="24"/>
          <w:szCs w:val="24"/>
        </w:rPr>
        <w:t xml:space="preserve">F) as per its last audited financial statements.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6" w:lineRule="exact"/>
        <w:rPr>
          <w:rFonts w:ascii="Verdana" w:hAnsi="Verdana" w:cs="Verdana"/>
          <w:sz w:val="24"/>
          <w:szCs w:val="24"/>
        </w:rPr>
      </w:pPr>
    </w:p>
    <w:p w:rsidR="00000000" w:rsidRDefault="004D7F71">
      <w:pPr>
        <w:pStyle w:val="DefaultParagraphFont"/>
        <w:widowControl w:val="0"/>
        <w:numPr>
          <w:ilvl w:val="0"/>
          <w:numId w:val="22"/>
        </w:numPr>
        <w:tabs>
          <w:tab w:val="clear" w:pos="720"/>
          <w:tab w:val="num" w:pos="466"/>
        </w:tabs>
        <w:overflowPunct w:val="0"/>
        <w:autoSpaceDE w:val="0"/>
        <w:autoSpaceDN w:val="0"/>
        <w:adjustRightInd w:val="0"/>
        <w:spacing w:after="0" w:line="215" w:lineRule="auto"/>
        <w:ind w:left="0" w:right="120" w:firstLine="0"/>
        <w:jc w:val="both"/>
        <w:rPr>
          <w:rFonts w:ascii="Verdana" w:hAnsi="Verdana" w:cs="Verdana"/>
          <w:sz w:val="24"/>
          <w:szCs w:val="24"/>
        </w:rPr>
      </w:pPr>
      <w:r>
        <w:rPr>
          <w:rFonts w:ascii="Verdana" w:hAnsi="Verdana" w:cs="Verdana"/>
          <w:sz w:val="24"/>
          <w:szCs w:val="24"/>
        </w:rPr>
        <w:t>In the case of companies covered under clauses (a) and (b) of rule 3 and existing on or before 26</w:t>
      </w:r>
      <w:r>
        <w:rPr>
          <w:rFonts w:ascii="Verdana" w:hAnsi="Verdana" w:cs="Verdana"/>
          <w:sz w:val="32"/>
          <w:szCs w:val="32"/>
          <w:vertAlign w:val="superscript"/>
        </w:rPr>
        <w:t>th</w:t>
      </w:r>
      <w:r>
        <w:rPr>
          <w:rFonts w:ascii="Verdana" w:hAnsi="Verdana" w:cs="Verdana"/>
          <w:sz w:val="24"/>
          <w:szCs w:val="24"/>
        </w:rPr>
        <w:t xml:space="preserve"> July, 2001 and which have accepted deposits in excess of the aforesaid limits, the same shall be restored to the prescribed limit by increasing the Net Owned Funds position or alternatively by reducing the deposit according to the table given below: </w:t>
      </w:r>
    </w:p>
    <w:p w:rsidR="00000000" w:rsidRDefault="004D7F71">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4520"/>
        <w:rPr>
          <w:rFonts w:ascii="Times New Roman" w:hAnsi="Times New Roman" w:cs="Times New Roman"/>
          <w:sz w:val="24"/>
          <w:szCs w:val="24"/>
        </w:rPr>
      </w:pPr>
      <w:r>
        <w:rPr>
          <w:rFonts w:ascii="Verdana" w:hAnsi="Verdana" w:cs="Verdana"/>
          <w:b/>
          <w:bCs/>
          <w:sz w:val="24"/>
          <w:szCs w:val="24"/>
        </w:rPr>
        <w:t>TAB</w:t>
      </w:r>
      <w:r>
        <w:rPr>
          <w:rFonts w:ascii="Verdana" w:hAnsi="Verdana" w:cs="Verdana"/>
          <w:b/>
          <w:bCs/>
          <w:sz w:val="24"/>
          <w:szCs w:val="24"/>
        </w:rPr>
        <w:t>LE</w:t>
      </w:r>
    </w:p>
    <w:p w:rsidR="00000000" w:rsidRDefault="004D7F71">
      <w:pPr>
        <w:pStyle w:val="DefaultParagraphFont"/>
        <w:widowControl w:val="0"/>
        <w:autoSpaceDE w:val="0"/>
        <w:autoSpaceDN w:val="0"/>
        <w:adjustRightInd w:val="0"/>
        <w:spacing w:after="0" w:line="275" w:lineRule="exact"/>
        <w:rPr>
          <w:rFonts w:ascii="Times New Roman" w:hAnsi="Times New Roman" w:cs="Times New Roman"/>
          <w:sz w:val="24"/>
          <w:szCs w:val="24"/>
        </w:rPr>
      </w:pPr>
    </w:p>
    <w:tbl>
      <w:tblPr>
        <w:tblW w:w="0" w:type="auto"/>
        <w:tblInd w:w="550" w:type="dxa"/>
        <w:tblLayout w:type="fixed"/>
        <w:tblCellMar>
          <w:left w:w="0" w:type="dxa"/>
          <w:right w:w="0" w:type="dxa"/>
        </w:tblCellMar>
        <w:tblLook w:val="0000" w:firstRow="0" w:lastRow="0" w:firstColumn="0" w:lastColumn="0" w:noHBand="0" w:noVBand="0"/>
      </w:tblPr>
      <w:tblGrid>
        <w:gridCol w:w="4360"/>
        <w:gridCol w:w="1320"/>
        <w:gridCol w:w="3260"/>
      </w:tblGrid>
      <w:tr w:rsidR="00000000">
        <w:tblPrEx>
          <w:tblCellMar>
            <w:top w:w="0" w:type="dxa"/>
            <w:left w:w="0" w:type="dxa"/>
            <w:bottom w:w="0" w:type="dxa"/>
            <w:right w:w="0" w:type="dxa"/>
          </w:tblCellMar>
        </w:tblPrEx>
        <w:trPr>
          <w:trHeight w:val="300"/>
        </w:trPr>
        <w:tc>
          <w:tcPr>
            <w:tcW w:w="4360" w:type="dxa"/>
            <w:tcBorders>
              <w:top w:val="single" w:sz="8" w:space="0" w:color="auto"/>
              <w:left w:val="single" w:sz="8" w:space="0" w:color="auto"/>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Verdana" w:hAnsi="Verdana" w:cs="Verdana"/>
                <w:b/>
                <w:bCs/>
                <w:sz w:val="24"/>
                <w:szCs w:val="24"/>
                <w:u w:val="single"/>
              </w:rPr>
              <w:t>Ratio of Net Owned Funds to</w:t>
            </w:r>
          </w:p>
        </w:tc>
        <w:tc>
          <w:tcPr>
            <w:tcW w:w="4580" w:type="dxa"/>
            <w:gridSpan w:val="2"/>
            <w:tcBorders>
              <w:top w:val="single" w:sz="8" w:space="0" w:color="auto"/>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Verdana" w:hAnsi="Verdana" w:cs="Verdana"/>
                <w:b/>
                <w:bCs/>
                <w:sz w:val="24"/>
                <w:szCs w:val="24"/>
              </w:rPr>
              <w:t>Date by which the company has</w:t>
            </w:r>
          </w:p>
        </w:tc>
      </w:tr>
      <w:tr w:rsidR="00000000">
        <w:tblPrEx>
          <w:tblCellMar>
            <w:top w:w="0" w:type="dxa"/>
            <w:left w:w="0" w:type="dxa"/>
            <w:bottom w:w="0" w:type="dxa"/>
            <w:right w:w="0" w:type="dxa"/>
          </w:tblCellMar>
        </w:tblPrEx>
        <w:trPr>
          <w:trHeight w:val="290"/>
        </w:trPr>
        <w:tc>
          <w:tcPr>
            <w:tcW w:w="4360" w:type="dxa"/>
            <w:tcBorders>
              <w:top w:val="nil"/>
              <w:left w:val="single" w:sz="8" w:space="0" w:color="auto"/>
              <w:bottom w:val="nil"/>
              <w:right w:val="single" w:sz="8" w:space="0" w:color="auto"/>
            </w:tcBorders>
            <w:vAlign w:val="bottom"/>
          </w:tcPr>
          <w:p w:rsidR="00000000" w:rsidRDefault="004D7F71">
            <w:pPr>
              <w:pStyle w:val="DefaultParagraphFont"/>
              <w:widowControl w:val="0"/>
              <w:autoSpaceDE w:val="0"/>
              <w:autoSpaceDN w:val="0"/>
              <w:adjustRightInd w:val="0"/>
              <w:spacing w:after="0" w:line="289" w:lineRule="exact"/>
              <w:ind w:left="100"/>
              <w:rPr>
                <w:rFonts w:ascii="Times New Roman" w:hAnsi="Times New Roman" w:cs="Times New Roman"/>
                <w:sz w:val="24"/>
                <w:szCs w:val="24"/>
              </w:rPr>
            </w:pPr>
            <w:r>
              <w:rPr>
                <w:rFonts w:ascii="Verdana" w:hAnsi="Verdana" w:cs="Verdana"/>
                <w:b/>
                <w:bCs/>
                <w:sz w:val="24"/>
                <w:szCs w:val="24"/>
                <w:u w:val="single"/>
              </w:rPr>
              <w:t>Deposits (as on 31.3.2010)</w:t>
            </w:r>
          </w:p>
        </w:tc>
        <w:tc>
          <w:tcPr>
            <w:tcW w:w="4580" w:type="dxa"/>
            <w:gridSpan w:val="2"/>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89" w:lineRule="exact"/>
              <w:ind w:left="100"/>
              <w:rPr>
                <w:rFonts w:ascii="Times New Roman" w:hAnsi="Times New Roman" w:cs="Times New Roman"/>
                <w:sz w:val="24"/>
                <w:szCs w:val="24"/>
              </w:rPr>
            </w:pPr>
            <w:r>
              <w:rPr>
                <w:rFonts w:ascii="Verdana" w:hAnsi="Verdana" w:cs="Verdana"/>
                <w:b/>
                <w:bCs/>
                <w:sz w:val="24"/>
                <w:szCs w:val="24"/>
              </w:rPr>
              <w:t>to achieve prescribed ceiling of</w:t>
            </w:r>
          </w:p>
        </w:tc>
      </w:tr>
      <w:tr w:rsidR="00000000">
        <w:tblPrEx>
          <w:tblCellMar>
            <w:top w:w="0" w:type="dxa"/>
            <w:left w:w="0" w:type="dxa"/>
            <w:bottom w:w="0" w:type="dxa"/>
            <w:right w:w="0" w:type="dxa"/>
          </w:tblCellMar>
        </w:tblPrEx>
        <w:trPr>
          <w:trHeight w:val="294"/>
        </w:trPr>
        <w:tc>
          <w:tcPr>
            <w:tcW w:w="43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Verdana" w:hAnsi="Verdana" w:cs="Verdana"/>
                <w:b/>
                <w:bCs/>
                <w:sz w:val="24"/>
                <w:szCs w:val="24"/>
              </w:rPr>
              <w:t>1:20</w:t>
            </w:r>
          </w:p>
        </w:tc>
        <w:tc>
          <w:tcPr>
            <w:tcW w:w="326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81"/>
        </w:trPr>
        <w:tc>
          <w:tcPr>
            <w:tcW w:w="43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78" w:lineRule="exact"/>
              <w:ind w:left="100"/>
              <w:rPr>
                <w:rFonts w:ascii="Times New Roman" w:hAnsi="Times New Roman" w:cs="Times New Roman"/>
                <w:sz w:val="24"/>
                <w:szCs w:val="24"/>
              </w:rPr>
            </w:pPr>
            <w:r>
              <w:rPr>
                <w:rFonts w:ascii="Verdana" w:hAnsi="Verdana" w:cs="Verdana"/>
                <w:sz w:val="24"/>
                <w:szCs w:val="24"/>
              </w:rPr>
              <w:t>a) More than 1:30 but upto 1:40</w:t>
            </w:r>
          </w:p>
        </w:tc>
        <w:tc>
          <w:tcPr>
            <w:tcW w:w="132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78" w:lineRule="exact"/>
              <w:ind w:left="840"/>
              <w:rPr>
                <w:rFonts w:ascii="Times New Roman" w:hAnsi="Times New Roman" w:cs="Times New Roman"/>
                <w:sz w:val="24"/>
                <w:szCs w:val="24"/>
              </w:rPr>
            </w:pPr>
            <w:r>
              <w:rPr>
                <w:rFonts w:ascii="Verdana" w:hAnsi="Verdana" w:cs="Verdana"/>
                <w:sz w:val="24"/>
                <w:szCs w:val="24"/>
              </w:rPr>
              <w:t>By</w:t>
            </w:r>
          </w:p>
        </w:tc>
        <w:tc>
          <w:tcPr>
            <w:tcW w:w="326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78" w:lineRule="exact"/>
              <w:ind w:right="1720"/>
              <w:jc w:val="right"/>
              <w:rPr>
                <w:rFonts w:ascii="Times New Roman" w:hAnsi="Times New Roman" w:cs="Times New Roman"/>
                <w:sz w:val="24"/>
                <w:szCs w:val="24"/>
              </w:rPr>
            </w:pPr>
            <w:r>
              <w:rPr>
                <w:rFonts w:ascii="Verdana" w:hAnsi="Verdana" w:cs="Verdana"/>
                <w:sz w:val="24"/>
                <w:szCs w:val="24"/>
              </w:rPr>
              <w:t>31.3.2014</w:t>
            </w:r>
          </w:p>
        </w:tc>
      </w:tr>
      <w:tr w:rsidR="00000000">
        <w:tblPrEx>
          <w:tblCellMar>
            <w:top w:w="0" w:type="dxa"/>
            <w:left w:w="0" w:type="dxa"/>
            <w:bottom w:w="0" w:type="dxa"/>
            <w:right w:w="0" w:type="dxa"/>
          </w:tblCellMar>
        </w:tblPrEx>
        <w:trPr>
          <w:trHeight w:val="282"/>
        </w:trPr>
        <w:tc>
          <w:tcPr>
            <w:tcW w:w="43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100"/>
              <w:rPr>
                <w:rFonts w:ascii="Times New Roman" w:hAnsi="Times New Roman" w:cs="Times New Roman"/>
                <w:sz w:val="24"/>
                <w:szCs w:val="24"/>
              </w:rPr>
            </w:pPr>
            <w:r>
              <w:rPr>
                <w:rFonts w:ascii="Verdana" w:hAnsi="Verdana" w:cs="Verdana"/>
                <w:sz w:val="24"/>
                <w:szCs w:val="24"/>
              </w:rPr>
              <w:t>b) More than 1:40 but upto 1:45</w:t>
            </w:r>
          </w:p>
        </w:tc>
        <w:tc>
          <w:tcPr>
            <w:tcW w:w="132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80" w:lineRule="exact"/>
              <w:ind w:left="840"/>
              <w:rPr>
                <w:rFonts w:ascii="Times New Roman" w:hAnsi="Times New Roman" w:cs="Times New Roman"/>
                <w:sz w:val="24"/>
                <w:szCs w:val="24"/>
              </w:rPr>
            </w:pPr>
            <w:r>
              <w:rPr>
                <w:rFonts w:ascii="Verdana" w:hAnsi="Verdana" w:cs="Verdana"/>
                <w:sz w:val="24"/>
                <w:szCs w:val="24"/>
              </w:rPr>
              <w:t>By</w:t>
            </w:r>
          </w:p>
        </w:tc>
        <w:tc>
          <w:tcPr>
            <w:tcW w:w="326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right="1720"/>
              <w:jc w:val="right"/>
              <w:rPr>
                <w:rFonts w:ascii="Times New Roman" w:hAnsi="Times New Roman" w:cs="Times New Roman"/>
                <w:sz w:val="24"/>
                <w:szCs w:val="24"/>
              </w:rPr>
            </w:pPr>
            <w:r>
              <w:rPr>
                <w:rFonts w:ascii="Verdana" w:hAnsi="Verdana" w:cs="Verdana"/>
                <w:sz w:val="24"/>
                <w:szCs w:val="24"/>
              </w:rPr>
              <w:t>31.3.2015</w:t>
            </w:r>
          </w:p>
        </w:tc>
      </w:tr>
      <w:tr w:rsidR="00000000">
        <w:tblPrEx>
          <w:tblCellMar>
            <w:top w:w="0" w:type="dxa"/>
            <w:left w:w="0" w:type="dxa"/>
            <w:bottom w:w="0" w:type="dxa"/>
            <w:right w:w="0" w:type="dxa"/>
          </w:tblCellMar>
        </w:tblPrEx>
        <w:trPr>
          <w:trHeight w:val="281"/>
        </w:trPr>
        <w:tc>
          <w:tcPr>
            <w:tcW w:w="43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100"/>
              <w:rPr>
                <w:rFonts w:ascii="Times New Roman" w:hAnsi="Times New Roman" w:cs="Times New Roman"/>
                <w:sz w:val="24"/>
                <w:szCs w:val="24"/>
              </w:rPr>
            </w:pPr>
            <w:r>
              <w:rPr>
                <w:rFonts w:ascii="Verdana" w:hAnsi="Verdana" w:cs="Verdana"/>
                <w:sz w:val="24"/>
                <w:szCs w:val="24"/>
              </w:rPr>
              <w:t>c) More than 1:45 but upto 1:50</w:t>
            </w:r>
          </w:p>
        </w:tc>
        <w:tc>
          <w:tcPr>
            <w:tcW w:w="132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80" w:lineRule="exact"/>
              <w:ind w:left="840"/>
              <w:rPr>
                <w:rFonts w:ascii="Times New Roman" w:hAnsi="Times New Roman" w:cs="Times New Roman"/>
                <w:sz w:val="24"/>
                <w:szCs w:val="24"/>
              </w:rPr>
            </w:pPr>
            <w:r>
              <w:rPr>
                <w:rFonts w:ascii="Verdana" w:hAnsi="Verdana" w:cs="Verdana"/>
                <w:sz w:val="24"/>
                <w:szCs w:val="24"/>
              </w:rPr>
              <w:t>By</w:t>
            </w:r>
          </w:p>
        </w:tc>
        <w:tc>
          <w:tcPr>
            <w:tcW w:w="326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right="1720"/>
              <w:jc w:val="right"/>
              <w:rPr>
                <w:rFonts w:ascii="Times New Roman" w:hAnsi="Times New Roman" w:cs="Times New Roman"/>
                <w:sz w:val="24"/>
                <w:szCs w:val="24"/>
              </w:rPr>
            </w:pPr>
            <w:r>
              <w:rPr>
                <w:rFonts w:ascii="Verdana" w:hAnsi="Verdana" w:cs="Verdana"/>
                <w:sz w:val="24"/>
                <w:szCs w:val="24"/>
              </w:rPr>
              <w:t>31.3.2016</w:t>
            </w:r>
          </w:p>
        </w:tc>
      </w:tr>
    </w:tbl>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39"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4" w:lineRule="auto"/>
        <w:ind w:right="120"/>
        <w:jc w:val="both"/>
        <w:rPr>
          <w:rFonts w:ascii="Times New Roman" w:hAnsi="Times New Roman" w:cs="Times New Roman"/>
          <w:sz w:val="24"/>
          <w:szCs w:val="24"/>
        </w:rPr>
      </w:pPr>
      <w:r>
        <w:rPr>
          <w:rFonts w:ascii="Verdana" w:hAnsi="Verdana" w:cs="Verdana"/>
          <w:sz w:val="24"/>
          <w:szCs w:val="24"/>
        </w:rPr>
        <w:t>(iii) Companies which are covered under the Table in sub-rule (ii) above shall not accept fresh deposits or renew existing deposits if such acceptance or renewal leads to violation of the prescribed ratio.</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320" w:bottom="452" w:left="1440" w:header="720" w:footer="720" w:gutter="0"/>
          <w:cols w:space="720" w:equalWidth="0">
            <w:col w:w="948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29"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8" w:name="page8"/>
      <w:bookmarkEnd w:id="8"/>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rPr>
          <w:rFonts w:ascii="Times New Roman" w:hAnsi="Times New Roman" w:cs="Times New Roman"/>
          <w:sz w:val="24"/>
          <w:szCs w:val="24"/>
        </w:rPr>
      </w:pPr>
      <w:r>
        <w:rPr>
          <w:rFonts w:ascii="Verdana" w:hAnsi="Verdana" w:cs="Verdana"/>
          <w:sz w:val="24"/>
          <w:szCs w:val="24"/>
        </w:rPr>
        <w:t>(iv) The ratio specified in sub-rule (ii) above shall also apply to incremental deposits.</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F71">
      <w:pPr>
        <w:pStyle w:val="DefaultParagraphFont"/>
        <w:widowControl w:val="0"/>
        <w:numPr>
          <w:ilvl w:val="0"/>
          <w:numId w:val="23"/>
        </w:numPr>
        <w:tabs>
          <w:tab w:val="clear" w:pos="720"/>
          <w:tab w:val="num" w:pos="1160"/>
        </w:tabs>
        <w:overflowPunct w:val="0"/>
        <w:autoSpaceDE w:val="0"/>
        <w:autoSpaceDN w:val="0"/>
        <w:adjustRightInd w:val="0"/>
        <w:spacing w:after="0" w:line="240" w:lineRule="auto"/>
        <w:ind w:left="1160" w:hanging="1160"/>
        <w:jc w:val="both"/>
        <w:rPr>
          <w:rFonts w:ascii="Verdana" w:hAnsi="Verdana" w:cs="Verdana"/>
          <w:b/>
          <w:bCs/>
          <w:sz w:val="24"/>
          <w:szCs w:val="24"/>
        </w:rPr>
      </w:pPr>
      <w:r>
        <w:rPr>
          <w:rFonts w:ascii="Verdana" w:hAnsi="Verdana" w:cs="Verdana"/>
          <w:b/>
          <w:bCs/>
          <w:sz w:val="24"/>
          <w:szCs w:val="24"/>
        </w:rPr>
        <w:t xml:space="preserve">Application form for Deposit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rPr>
          <w:rFonts w:ascii="Times New Roman" w:hAnsi="Times New Roman" w:cs="Times New Roman"/>
          <w:sz w:val="24"/>
          <w:szCs w:val="24"/>
        </w:rPr>
      </w:pPr>
      <w:r>
        <w:rPr>
          <w:rFonts w:ascii="Verdana" w:hAnsi="Verdana" w:cs="Verdana"/>
          <w:sz w:val="24"/>
          <w:szCs w:val="24"/>
        </w:rPr>
        <w:t>(i) Every application form for placing a deposit with a Nidhi shall contain the particulars given</w:t>
      </w:r>
      <w:r>
        <w:rPr>
          <w:rFonts w:ascii="Verdana" w:hAnsi="Verdana" w:cs="Verdana"/>
          <w:sz w:val="24"/>
          <w:szCs w:val="24"/>
        </w:rPr>
        <w:t xml:space="preserve"> below:</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24"/>
        </w:numPr>
        <w:tabs>
          <w:tab w:val="clear" w:pos="720"/>
          <w:tab w:val="num" w:pos="1980"/>
        </w:tabs>
        <w:overflowPunct w:val="0"/>
        <w:autoSpaceDE w:val="0"/>
        <w:autoSpaceDN w:val="0"/>
        <w:adjustRightInd w:val="0"/>
        <w:spacing w:after="0" w:line="240" w:lineRule="auto"/>
        <w:ind w:left="1980" w:hanging="619"/>
        <w:jc w:val="both"/>
        <w:rPr>
          <w:rFonts w:ascii="Verdana" w:hAnsi="Verdana" w:cs="Verdana"/>
          <w:sz w:val="24"/>
          <w:szCs w:val="24"/>
        </w:rPr>
      </w:pPr>
      <w:r>
        <w:rPr>
          <w:rFonts w:ascii="Verdana" w:hAnsi="Verdana" w:cs="Verdana"/>
          <w:sz w:val="24"/>
          <w:szCs w:val="24"/>
        </w:rPr>
        <w:t xml:space="preserve">Name of the Nidhi. </w:t>
      </w:r>
    </w:p>
    <w:p w:rsidR="00000000" w:rsidRDefault="004D7F71">
      <w:pPr>
        <w:pStyle w:val="DefaultParagraphFont"/>
        <w:widowControl w:val="0"/>
        <w:numPr>
          <w:ilvl w:val="0"/>
          <w:numId w:val="24"/>
        </w:numPr>
        <w:tabs>
          <w:tab w:val="clear" w:pos="720"/>
          <w:tab w:val="num" w:pos="1900"/>
        </w:tabs>
        <w:overflowPunct w:val="0"/>
        <w:autoSpaceDE w:val="0"/>
        <w:autoSpaceDN w:val="0"/>
        <w:adjustRightInd w:val="0"/>
        <w:spacing w:after="0" w:line="238" w:lineRule="auto"/>
        <w:ind w:left="1900" w:hanging="539"/>
        <w:jc w:val="both"/>
        <w:rPr>
          <w:rFonts w:ascii="Verdana" w:hAnsi="Verdana" w:cs="Verdana"/>
          <w:sz w:val="24"/>
          <w:szCs w:val="24"/>
        </w:rPr>
      </w:pPr>
      <w:r>
        <w:rPr>
          <w:rFonts w:ascii="Verdana" w:hAnsi="Verdana" w:cs="Verdana"/>
          <w:sz w:val="24"/>
          <w:szCs w:val="24"/>
        </w:rPr>
        <w:t xml:space="preserve">Date of incorporation of the Nidhi. </w:t>
      </w:r>
    </w:p>
    <w:p w:rsidR="00000000" w:rsidRDefault="004D7F71">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873"/>
        </w:tabs>
        <w:overflowPunct w:val="0"/>
        <w:autoSpaceDE w:val="0"/>
        <w:autoSpaceDN w:val="0"/>
        <w:adjustRightInd w:val="0"/>
        <w:spacing w:after="0" w:line="215" w:lineRule="auto"/>
        <w:ind w:left="1840" w:hanging="479"/>
        <w:jc w:val="both"/>
        <w:rPr>
          <w:rFonts w:ascii="Verdana" w:hAnsi="Verdana" w:cs="Verdana"/>
          <w:sz w:val="24"/>
          <w:szCs w:val="24"/>
        </w:rPr>
      </w:pPr>
      <w:r>
        <w:rPr>
          <w:rFonts w:ascii="Verdana" w:hAnsi="Verdana" w:cs="Verdana"/>
          <w:sz w:val="24"/>
          <w:szCs w:val="24"/>
        </w:rPr>
        <w:t xml:space="preserve">The business carried on by the Nidhi with details of branches, if any. </w:t>
      </w:r>
    </w:p>
    <w:p w:rsidR="00000000" w:rsidRDefault="004D7F71">
      <w:pPr>
        <w:pStyle w:val="DefaultParagraphFont"/>
        <w:widowControl w:val="0"/>
        <w:autoSpaceDE w:val="0"/>
        <w:autoSpaceDN w:val="0"/>
        <w:adjustRightInd w:val="0"/>
        <w:spacing w:after="0" w:line="60"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965"/>
        </w:tabs>
        <w:overflowPunct w:val="0"/>
        <w:autoSpaceDE w:val="0"/>
        <w:autoSpaceDN w:val="0"/>
        <w:adjustRightInd w:val="0"/>
        <w:spacing w:after="0" w:line="215" w:lineRule="auto"/>
        <w:ind w:left="1840" w:hanging="479"/>
        <w:jc w:val="both"/>
        <w:rPr>
          <w:rFonts w:ascii="Verdana" w:hAnsi="Verdana" w:cs="Verdana"/>
          <w:sz w:val="24"/>
          <w:szCs w:val="24"/>
        </w:rPr>
      </w:pPr>
      <w:r>
        <w:rPr>
          <w:rFonts w:ascii="Verdana" w:hAnsi="Verdana" w:cs="Verdana"/>
          <w:sz w:val="24"/>
          <w:szCs w:val="24"/>
        </w:rPr>
        <w:t xml:space="preserve">Brief particulars of the management of the Nidhi (name, addresses and occupation of the directors, including DIN). </w:t>
      </w:r>
    </w:p>
    <w:p w:rsidR="00000000" w:rsidRDefault="004D7F71">
      <w:pPr>
        <w:pStyle w:val="DefaultParagraphFont"/>
        <w:widowControl w:val="0"/>
        <w:autoSpaceDE w:val="0"/>
        <w:autoSpaceDN w:val="0"/>
        <w:adjustRightInd w:val="0"/>
        <w:spacing w:after="0" w:line="60"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904"/>
        </w:tabs>
        <w:overflowPunct w:val="0"/>
        <w:autoSpaceDE w:val="0"/>
        <w:autoSpaceDN w:val="0"/>
        <w:adjustRightInd w:val="0"/>
        <w:spacing w:after="0" w:line="215" w:lineRule="auto"/>
        <w:ind w:left="1840" w:hanging="479"/>
        <w:jc w:val="both"/>
        <w:rPr>
          <w:rFonts w:ascii="Verdana" w:hAnsi="Verdana" w:cs="Verdana"/>
          <w:sz w:val="24"/>
          <w:szCs w:val="24"/>
        </w:rPr>
      </w:pPr>
      <w:r>
        <w:rPr>
          <w:rFonts w:ascii="Verdana" w:hAnsi="Verdana" w:cs="Verdana"/>
          <w:sz w:val="24"/>
          <w:szCs w:val="24"/>
        </w:rPr>
        <w:t xml:space="preserve">Net profits of the Nidhi before and after making provision for tax for the preceding three financial years. </w:t>
      </w:r>
    </w:p>
    <w:p w:rsidR="00000000" w:rsidRDefault="004D7F71">
      <w:pPr>
        <w:pStyle w:val="DefaultParagraphFont"/>
        <w:widowControl w:val="0"/>
        <w:autoSpaceDE w:val="0"/>
        <w:autoSpaceDN w:val="0"/>
        <w:adjustRightInd w:val="0"/>
        <w:spacing w:after="0" w:line="60"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828"/>
        </w:tabs>
        <w:overflowPunct w:val="0"/>
        <w:autoSpaceDE w:val="0"/>
        <w:autoSpaceDN w:val="0"/>
        <w:adjustRightInd w:val="0"/>
        <w:spacing w:after="0" w:line="216" w:lineRule="auto"/>
        <w:ind w:left="1840" w:hanging="479"/>
        <w:jc w:val="both"/>
        <w:rPr>
          <w:rFonts w:ascii="Verdana" w:hAnsi="Verdana" w:cs="Verdana"/>
          <w:sz w:val="24"/>
          <w:szCs w:val="24"/>
        </w:rPr>
      </w:pPr>
      <w:r>
        <w:rPr>
          <w:rFonts w:ascii="Verdana" w:hAnsi="Verdana" w:cs="Verdana"/>
          <w:sz w:val="24"/>
          <w:szCs w:val="24"/>
        </w:rPr>
        <w:t xml:space="preserve">Dividend declared by the Nidhi during the preceding three financial years. </w:t>
      </w:r>
    </w:p>
    <w:p w:rsidR="00000000" w:rsidRDefault="004D7F71">
      <w:pPr>
        <w:pStyle w:val="DefaultParagraphFont"/>
        <w:widowControl w:val="0"/>
        <w:numPr>
          <w:ilvl w:val="0"/>
          <w:numId w:val="24"/>
        </w:numPr>
        <w:tabs>
          <w:tab w:val="clear" w:pos="720"/>
          <w:tab w:val="num" w:pos="1900"/>
        </w:tabs>
        <w:overflowPunct w:val="0"/>
        <w:autoSpaceDE w:val="0"/>
        <w:autoSpaceDN w:val="0"/>
        <w:adjustRightInd w:val="0"/>
        <w:spacing w:after="0" w:line="238" w:lineRule="auto"/>
        <w:ind w:left="1900" w:hanging="539"/>
        <w:jc w:val="both"/>
        <w:rPr>
          <w:rFonts w:ascii="Verdana" w:hAnsi="Verdana" w:cs="Verdana"/>
          <w:sz w:val="24"/>
          <w:szCs w:val="24"/>
        </w:rPr>
      </w:pPr>
      <w:r>
        <w:rPr>
          <w:rFonts w:ascii="Verdana" w:hAnsi="Verdana" w:cs="Verdana"/>
          <w:sz w:val="24"/>
          <w:szCs w:val="24"/>
        </w:rPr>
        <w:t xml:space="preserve">Mode of repayment of the deposit.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900"/>
        </w:tabs>
        <w:overflowPunct w:val="0"/>
        <w:autoSpaceDE w:val="0"/>
        <w:autoSpaceDN w:val="0"/>
        <w:adjustRightInd w:val="0"/>
        <w:spacing w:after="0" w:line="240" w:lineRule="auto"/>
        <w:ind w:left="1900" w:hanging="539"/>
        <w:jc w:val="both"/>
        <w:rPr>
          <w:rFonts w:ascii="Verdana" w:hAnsi="Verdana" w:cs="Verdana"/>
          <w:sz w:val="24"/>
          <w:szCs w:val="24"/>
        </w:rPr>
      </w:pPr>
      <w:r>
        <w:rPr>
          <w:rFonts w:ascii="Verdana" w:hAnsi="Verdana" w:cs="Verdana"/>
          <w:sz w:val="24"/>
          <w:szCs w:val="24"/>
        </w:rPr>
        <w:t xml:space="preserve">Maturity period of the deposit. </w:t>
      </w:r>
    </w:p>
    <w:p w:rsidR="00000000" w:rsidRDefault="004D7F71">
      <w:pPr>
        <w:pStyle w:val="DefaultParagraphFont"/>
        <w:widowControl w:val="0"/>
        <w:numPr>
          <w:ilvl w:val="0"/>
          <w:numId w:val="24"/>
        </w:numPr>
        <w:tabs>
          <w:tab w:val="clear" w:pos="720"/>
          <w:tab w:val="num" w:pos="1900"/>
        </w:tabs>
        <w:overflowPunct w:val="0"/>
        <w:autoSpaceDE w:val="0"/>
        <w:autoSpaceDN w:val="0"/>
        <w:adjustRightInd w:val="0"/>
        <w:spacing w:after="0" w:line="238" w:lineRule="auto"/>
        <w:ind w:left="1900" w:hanging="539"/>
        <w:jc w:val="both"/>
        <w:rPr>
          <w:rFonts w:ascii="Verdana" w:hAnsi="Verdana" w:cs="Verdana"/>
          <w:sz w:val="24"/>
          <w:szCs w:val="24"/>
        </w:rPr>
      </w:pPr>
      <w:r>
        <w:rPr>
          <w:rFonts w:ascii="Verdana" w:hAnsi="Verdana" w:cs="Verdana"/>
          <w:sz w:val="24"/>
          <w:szCs w:val="24"/>
        </w:rPr>
        <w:t xml:space="preserve">Interest payable on the deposit. </w:t>
      </w:r>
    </w:p>
    <w:p w:rsidR="00000000" w:rsidRDefault="004D7F71">
      <w:pPr>
        <w:pStyle w:val="DefaultParagraphFont"/>
        <w:widowControl w:val="0"/>
        <w:autoSpaceDE w:val="0"/>
        <w:autoSpaceDN w:val="0"/>
        <w:adjustRightInd w:val="0"/>
        <w:spacing w:after="0" w:line="60" w:lineRule="exact"/>
        <w:rPr>
          <w:rFonts w:ascii="Verdana" w:hAnsi="Verdana" w:cs="Verdana"/>
          <w:sz w:val="24"/>
          <w:szCs w:val="24"/>
        </w:rPr>
      </w:pPr>
    </w:p>
    <w:p w:rsidR="00000000" w:rsidRDefault="004D7F71">
      <w:pPr>
        <w:pStyle w:val="DefaultParagraphFont"/>
        <w:widowControl w:val="0"/>
        <w:numPr>
          <w:ilvl w:val="0"/>
          <w:numId w:val="24"/>
        </w:numPr>
        <w:tabs>
          <w:tab w:val="clear" w:pos="720"/>
          <w:tab w:val="num" w:pos="1826"/>
        </w:tabs>
        <w:overflowPunct w:val="0"/>
        <w:autoSpaceDE w:val="0"/>
        <w:autoSpaceDN w:val="0"/>
        <w:adjustRightInd w:val="0"/>
        <w:spacing w:after="0" w:line="215" w:lineRule="auto"/>
        <w:ind w:left="1840" w:hanging="479"/>
        <w:jc w:val="both"/>
        <w:rPr>
          <w:rFonts w:ascii="Verdana" w:hAnsi="Verdana" w:cs="Verdana"/>
          <w:sz w:val="24"/>
          <w:szCs w:val="24"/>
        </w:rPr>
      </w:pPr>
      <w:r>
        <w:rPr>
          <w:rFonts w:ascii="Verdana" w:hAnsi="Verdana" w:cs="Verdana"/>
          <w:sz w:val="24"/>
          <w:szCs w:val="24"/>
        </w:rPr>
        <w:t>The rate of interest payable to the depositor in case th</w:t>
      </w:r>
      <w:r>
        <w:rPr>
          <w:rFonts w:ascii="Verdana" w:hAnsi="Verdana" w:cs="Verdana"/>
          <w:sz w:val="24"/>
          <w:szCs w:val="24"/>
        </w:rPr>
        <w:t xml:space="preserve">e depositor withdraws the deposit prematurely. </w:t>
      </w:r>
    </w:p>
    <w:p w:rsidR="00000000" w:rsidRDefault="004D7F71">
      <w:pPr>
        <w:pStyle w:val="DefaultParagraphFont"/>
        <w:widowControl w:val="0"/>
        <w:autoSpaceDE w:val="0"/>
        <w:autoSpaceDN w:val="0"/>
        <w:adjustRightInd w:val="0"/>
        <w:spacing w:after="0" w:line="61" w:lineRule="exact"/>
        <w:rPr>
          <w:rFonts w:ascii="Times New Roman" w:hAnsi="Times New Roman" w:cs="Times New Roman"/>
          <w:sz w:val="24"/>
          <w:szCs w:val="24"/>
        </w:rPr>
      </w:pPr>
    </w:p>
    <w:p w:rsidR="00000000" w:rsidRDefault="004D7F71">
      <w:pPr>
        <w:pStyle w:val="DefaultParagraphFont"/>
        <w:widowControl w:val="0"/>
        <w:numPr>
          <w:ilvl w:val="1"/>
          <w:numId w:val="25"/>
        </w:numPr>
        <w:tabs>
          <w:tab w:val="clear" w:pos="1440"/>
          <w:tab w:val="num" w:pos="1957"/>
        </w:tabs>
        <w:overflowPunct w:val="0"/>
        <w:autoSpaceDE w:val="0"/>
        <w:autoSpaceDN w:val="0"/>
        <w:adjustRightInd w:val="0"/>
        <w:spacing w:after="0" w:line="215" w:lineRule="auto"/>
        <w:ind w:left="2020" w:right="240" w:hanging="587"/>
        <w:jc w:val="both"/>
        <w:rPr>
          <w:rFonts w:ascii="Verdana" w:hAnsi="Verdana" w:cs="Verdana"/>
          <w:sz w:val="24"/>
          <w:szCs w:val="24"/>
        </w:rPr>
      </w:pPr>
      <w:r>
        <w:rPr>
          <w:rFonts w:ascii="Verdana" w:hAnsi="Verdana" w:cs="Verdana"/>
          <w:sz w:val="24"/>
          <w:szCs w:val="24"/>
        </w:rPr>
        <w:t xml:space="preserve">The terms and conditions subject to which the deposit may be accepted / renewed. </w:t>
      </w:r>
    </w:p>
    <w:p w:rsidR="00000000" w:rsidRDefault="004D7F71">
      <w:pPr>
        <w:pStyle w:val="DefaultParagraphFont"/>
        <w:widowControl w:val="0"/>
        <w:autoSpaceDE w:val="0"/>
        <w:autoSpaceDN w:val="0"/>
        <w:adjustRightInd w:val="0"/>
        <w:spacing w:after="0" w:line="60" w:lineRule="exact"/>
        <w:rPr>
          <w:rFonts w:ascii="Verdana" w:hAnsi="Verdana" w:cs="Verdana"/>
          <w:sz w:val="24"/>
          <w:szCs w:val="24"/>
        </w:rPr>
      </w:pPr>
    </w:p>
    <w:p w:rsidR="00000000" w:rsidRDefault="004D7F71">
      <w:pPr>
        <w:pStyle w:val="DefaultParagraphFont"/>
        <w:widowControl w:val="0"/>
        <w:numPr>
          <w:ilvl w:val="0"/>
          <w:numId w:val="26"/>
        </w:numPr>
        <w:tabs>
          <w:tab w:val="clear" w:pos="720"/>
          <w:tab w:val="num" w:pos="1742"/>
        </w:tabs>
        <w:overflowPunct w:val="0"/>
        <w:autoSpaceDE w:val="0"/>
        <w:autoSpaceDN w:val="0"/>
        <w:adjustRightInd w:val="0"/>
        <w:spacing w:after="0" w:line="215" w:lineRule="auto"/>
        <w:ind w:left="1840" w:hanging="479"/>
        <w:jc w:val="both"/>
        <w:rPr>
          <w:rFonts w:ascii="Verdana" w:hAnsi="Verdana" w:cs="Verdana"/>
          <w:sz w:val="24"/>
          <w:szCs w:val="24"/>
        </w:rPr>
      </w:pPr>
      <w:r>
        <w:rPr>
          <w:rFonts w:ascii="Verdana" w:hAnsi="Verdana" w:cs="Verdana"/>
          <w:sz w:val="24"/>
          <w:szCs w:val="24"/>
        </w:rPr>
        <w:t xml:space="preserve">A summary of the financials of the company as per the latest two audited financial statements as given below: </w:t>
      </w:r>
    </w:p>
    <w:p w:rsidR="00000000" w:rsidRDefault="004D7F71">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4D7F71">
      <w:pPr>
        <w:pStyle w:val="DefaultParagraphFont"/>
        <w:widowControl w:val="0"/>
        <w:numPr>
          <w:ilvl w:val="2"/>
          <w:numId w:val="26"/>
        </w:numPr>
        <w:tabs>
          <w:tab w:val="clear" w:pos="2160"/>
          <w:tab w:val="num" w:pos="2900"/>
        </w:tabs>
        <w:overflowPunct w:val="0"/>
        <w:autoSpaceDE w:val="0"/>
        <w:autoSpaceDN w:val="0"/>
        <w:adjustRightInd w:val="0"/>
        <w:spacing w:after="0" w:line="240" w:lineRule="auto"/>
        <w:ind w:left="2900" w:hanging="773"/>
        <w:jc w:val="both"/>
        <w:rPr>
          <w:rFonts w:ascii="Verdana" w:hAnsi="Verdana" w:cs="Verdana"/>
          <w:sz w:val="24"/>
          <w:szCs w:val="24"/>
        </w:rPr>
      </w:pPr>
      <w:r>
        <w:rPr>
          <w:rFonts w:ascii="Verdana" w:hAnsi="Verdana" w:cs="Verdana"/>
          <w:sz w:val="24"/>
          <w:szCs w:val="24"/>
        </w:rPr>
        <w:t xml:space="preserve">Net Owned Funds </w:t>
      </w:r>
    </w:p>
    <w:p w:rsidR="00000000" w:rsidRDefault="004D7F71">
      <w:pPr>
        <w:pStyle w:val="DefaultParagraphFont"/>
        <w:widowControl w:val="0"/>
        <w:autoSpaceDE w:val="0"/>
        <w:autoSpaceDN w:val="0"/>
        <w:adjustRightInd w:val="0"/>
        <w:spacing w:after="0" w:line="1" w:lineRule="exact"/>
        <w:rPr>
          <w:rFonts w:ascii="Verdana" w:hAnsi="Verdana" w:cs="Verdana"/>
          <w:sz w:val="24"/>
          <w:szCs w:val="24"/>
        </w:rPr>
      </w:pPr>
    </w:p>
    <w:p w:rsidR="00000000" w:rsidRDefault="004D7F71">
      <w:pPr>
        <w:pStyle w:val="DefaultParagraphFont"/>
        <w:widowControl w:val="0"/>
        <w:numPr>
          <w:ilvl w:val="2"/>
          <w:numId w:val="26"/>
        </w:numPr>
        <w:tabs>
          <w:tab w:val="clear" w:pos="2160"/>
          <w:tab w:val="num" w:pos="2900"/>
        </w:tabs>
        <w:overflowPunct w:val="0"/>
        <w:autoSpaceDE w:val="0"/>
        <w:autoSpaceDN w:val="0"/>
        <w:adjustRightInd w:val="0"/>
        <w:spacing w:after="0" w:line="240" w:lineRule="auto"/>
        <w:ind w:left="2900" w:hanging="773"/>
        <w:jc w:val="both"/>
        <w:rPr>
          <w:rFonts w:ascii="Verdana" w:hAnsi="Verdana" w:cs="Verdana"/>
          <w:sz w:val="24"/>
          <w:szCs w:val="24"/>
        </w:rPr>
      </w:pPr>
      <w:r>
        <w:rPr>
          <w:rFonts w:ascii="Verdana" w:hAnsi="Verdana" w:cs="Verdana"/>
          <w:sz w:val="24"/>
          <w:szCs w:val="24"/>
        </w:rPr>
        <w:t xml:space="preserve">Deposits accepted </w:t>
      </w:r>
    </w:p>
    <w:p w:rsidR="00000000" w:rsidRDefault="004D7F71">
      <w:pPr>
        <w:pStyle w:val="DefaultParagraphFont"/>
        <w:widowControl w:val="0"/>
        <w:numPr>
          <w:ilvl w:val="2"/>
          <w:numId w:val="26"/>
        </w:numPr>
        <w:tabs>
          <w:tab w:val="clear" w:pos="2160"/>
          <w:tab w:val="num" w:pos="2900"/>
        </w:tabs>
        <w:overflowPunct w:val="0"/>
        <w:autoSpaceDE w:val="0"/>
        <w:autoSpaceDN w:val="0"/>
        <w:adjustRightInd w:val="0"/>
        <w:spacing w:after="0" w:line="238" w:lineRule="auto"/>
        <w:ind w:left="2900" w:hanging="773"/>
        <w:jc w:val="both"/>
        <w:rPr>
          <w:rFonts w:ascii="Verdana" w:hAnsi="Verdana" w:cs="Verdana"/>
          <w:sz w:val="24"/>
          <w:szCs w:val="24"/>
        </w:rPr>
      </w:pPr>
      <w:r>
        <w:rPr>
          <w:rFonts w:ascii="Verdana" w:hAnsi="Verdana" w:cs="Verdana"/>
          <w:sz w:val="24"/>
          <w:szCs w:val="24"/>
        </w:rPr>
        <w:t xml:space="preserve">Deposits repaid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2"/>
          <w:numId w:val="26"/>
        </w:numPr>
        <w:tabs>
          <w:tab w:val="clear" w:pos="2160"/>
          <w:tab w:val="num" w:pos="2900"/>
        </w:tabs>
        <w:overflowPunct w:val="0"/>
        <w:autoSpaceDE w:val="0"/>
        <w:autoSpaceDN w:val="0"/>
        <w:adjustRightInd w:val="0"/>
        <w:spacing w:after="0" w:line="240" w:lineRule="auto"/>
        <w:ind w:left="2900" w:hanging="773"/>
        <w:jc w:val="both"/>
        <w:rPr>
          <w:rFonts w:ascii="Verdana" w:hAnsi="Verdana" w:cs="Verdana"/>
          <w:sz w:val="24"/>
          <w:szCs w:val="24"/>
        </w:rPr>
      </w:pPr>
      <w:r>
        <w:rPr>
          <w:rFonts w:ascii="Verdana" w:hAnsi="Verdana" w:cs="Verdana"/>
          <w:sz w:val="24"/>
          <w:szCs w:val="24"/>
        </w:rPr>
        <w:t xml:space="preserve">Deposits claimed but remaining unpaid </w:t>
      </w:r>
    </w:p>
    <w:p w:rsidR="00000000" w:rsidRDefault="004D7F71">
      <w:pPr>
        <w:pStyle w:val="DefaultParagraphFont"/>
        <w:widowControl w:val="0"/>
        <w:autoSpaceDE w:val="0"/>
        <w:autoSpaceDN w:val="0"/>
        <w:adjustRightInd w:val="0"/>
        <w:spacing w:after="0" w:line="1" w:lineRule="exact"/>
        <w:rPr>
          <w:rFonts w:ascii="Verdana" w:hAnsi="Verdana" w:cs="Verdana"/>
          <w:sz w:val="24"/>
          <w:szCs w:val="24"/>
        </w:rPr>
      </w:pPr>
    </w:p>
    <w:p w:rsidR="00000000" w:rsidRDefault="004D7F71">
      <w:pPr>
        <w:pStyle w:val="DefaultParagraphFont"/>
        <w:widowControl w:val="0"/>
        <w:numPr>
          <w:ilvl w:val="2"/>
          <w:numId w:val="26"/>
        </w:numPr>
        <w:tabs>
          <w:tab w:val="clear" w:pos="2160"/>
          <w:tab w:val="num" w:pos="2900"/>
        </w:tabs>
        <w:overflowPunct w:val="0"/>
        <w:autoSpaceDE w:val="0"/>
        <w:autoSpaceDN w:val="0"/>
        <w:adjustRightInd w:val="0"/>
        <w:spacing w:after="0" w:line="240" w:lineRule="auto"/>
        <w:ind w:left="2900" w:hanging="773"/>
        <w:jc w:val="both"/>
        <w:rPr>
          <w:rFonts w:ascii="Verdana" w:hAnsi="Verdana" w:cs="Verdana"/>
          <w:sz w:val="24"/>
          <w:szCs w:val="24"/>
        </w:rPr>
      </w:pPr>
      <w:r>
        <w:rPr>
          <w:rFonts w:ascii="Verdana" w:hAnsi="Verdana" w:cs="Verdana"/>
          <w:sz w:val="24"/>
          <w:szCs w:val="24"/>
        </w:rPr>
        <w:t xml:space="preserve">Loans disbursed against </w:t>
      </w:r>
    </w:p>
    <w:p w:rsidR="00000000" w:rsidRDefault="004D7F71">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4D7F71">
      <w:pPr>
        <w:pStyle w:val="DefaultParagraphFont"/>
        <w:widowControl w:val="0"/>
        <w:numPr>
          <w:ilvl w:val="5"/>
          <w:numId w:val="26"/>
        </w:numPr>
        <w:tabs>
          <w:tab w:val="clear" w:pos="4320"/>
          <w:tab w:val="num" w:pos="3460"/>
        </w:tabs>
        <w:overflowPunct w:val="0"/>
        <w:autoSpaceDE w:val="0"/>
        <w:autoSpaceDN w:val="0"/>
        <w:adjustRightInd w:val="0"/>
        <w:spacing w:after="0" w:line="240" w:lineRule="auto"/>
        <w:ind w:left="3460" w:hanging="625"/>
        <w:jc w:val="both"/>
        <w:rPr>
          <w:rFonts w:ascii="Verdana" w:hAnsi="Verdana" w:cs="Verdana"/>
          <w:sz w:val="24"/>
          <w:szCs w:val="24"/>
        </w:rPr>
      </w:pPr>
      <w:r>
        <w:rPr>
          <w:rFonts w:ascii="Verdana" w:hAnsi="Verdana" w:cs="Verdana"/>
          <w:sz w:val="24"/>
          <w:szCs w:val="24"/>
        </w:rPr>
        <w:t xml:space="preserve">Immovable property </w:t>
      </w:r>
    </w:p>
    <w:p w:rsidR="00000000" w:rsidRDefault="004D7F71">
      <w:pPr>
        <w:pStyle w:val="DefaultParagraphFont"/>
        <w:widowControl w:val="0"/>
        <w:numPr>
          <w:ilvl w:val="5"/>
          <w:numId w:val="26"/>
        </w:numPr>
        <w:tabs>
          <w:tab w:val="clear" w:pos="4320"/>
          <w:tab w:val="num" w:pos="3460"/>
        </w:tabs>
        <w:overflowPunct w:val="0"/>
        <w:autoSpaceDE w:val="0"/>
        <w:autoSpaceDN w:val="0"/>
        <w:adjustRightInd w:val="0"/>
        <w:spacing w:after="0" w:line="238" w:lineRule="auto"/>
        <w:ind w:left="3460" w:hanging="625"/>
        <w:jc w:val="both"/>
        <w:rPr>
          <w:rFonts w:ascii="Verdana" w:hAnsi="Verdana" w:cs="Verdana"/>
          <w:sz w:val="24"/>
          <w:szCs w:val="24"/>
        </w:rPr>
      </w:pPr>
      <w:r>
        <w:rPr>
          <w:rFonts w:ascii="Verdana" w:hAnsi="Verdana" w:cs="Verdana"/>
          <w:sz w:val="24"/>
          <w:szCs w:val="24"/>
        </w:rPr>
        <w:t xml:space="preserve">Deposits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5"/>
          <w:numId w:val="26"/>
        </w:numPr>
        <w:tabs>
          <w:tab w:val="clear" w:pos="4320"/>
          <w:tab w:val="num" w:pos="3460"/>
        </w:tabs>
        <w:overflowPunct w:val="0"/>
        <w:autoSpaceDE w:val="0"/>
        <w:autoSpaceDN w:val="0"/>
        <w:adjustRightInd w:val="0"/>
        <w:spacing w:after="0" w:line="240" w:lineRule="auto"/>
        <w:ind w:left="3460" w:hanging="625"/>
        <w:jc w:val="both"/>
        <w:rPr>
          <w:rFonts w:ascii="Verdana" w:hAnsi="Verdana" w:cs="Verdana"/>
          <w:sz w:val="24"/>
          <w:szCs w:val="24"/>
        </w:rPr>
      </w:pPr>
      <w:r>
        <w:rPr>
          <w:rFonts w:ascii="Verdana" w:hAnsi="Verdana" w:cs="Verdana"/>
          <w:sz w:val="24"/>
          <w:szCs w:val="24"/>
        </w:rPr>
        <w:t xml:space="preserve">Gold and Jewellery </w:t>
      </w:r>
    </w:p>
    <w:p w:rsidR="00000000" w:rsidRDefault="004D7F71">
      <w:pPr>
        <w:pStyle w:val="DefaultParagraphFont"/>
        <w:widowControl w:val="0"/>
        <w:autoSpaceDE w:val="0"/>
        <w:autoSpaceDN w:val="0"/>
        <w:adjustRightInd w:val="0"/>
        <w:spacing w:after="0" w:line="291" w:lineRule="exact"/>
        <w:rPr>
          <w:rFonts w:ascii="Verdana" w:hAnsi="Verdana" w:cs="Verdana"/>
          <w:sz w:val="24"/>
          <w:szCs w:val="24"/>
        </w:rPr>
      </w:pPr>
    </w:p>
    <w:p w:rsidR="00000000" w:rsidRDefault="004D7F71">
      <w:pPr>
        <w:pStyle w:val="DefaultParagraphFont"/>
        <w:widowControl w:val="0"/>
        <w:numPr>
          <w:ilvl w:val="4"/>
          <w:numId w:val="26"/>
        </w:numPr>
        <w:tabs>
          <w:tab w:val="clear" w:pos="3600"/>
          <w:tab w:val="num" w:pos="2800"/>
        </w:tabs>
        <w:overflowPunct w:val="0"/>
        <w:autoSpaceDE w:val="0"/>
        <w:autoSpaceDN w:val="0"/>
        <w:adjustRightInd w:val="0"/>
        <w:spacing w:after="0" w:line="240" w:lineRule="auto"/>
        <w:ind w:left="2800" w:hanging="596"/>
        <w:jc w:val="both"/>
        <w:rPr>
          <w:rFonts w:ascii="Verdana" w:hAnsi="Verdana" w:cs="Verdana"/>
          <w:sz w:val="24"/>
          <w:szCs w:val="24"/>
        </w:rPr>
      </w:pPr>
      <w:r>
        <w:rPr>
          <w:rFonts w:ascii="Verdana" w:hAnsi="Verdana" w:cs="Verdana"/>
          <w:sz w:val="24"/>
          <w:szCs w:val="24"/>
        </w:rPr>
        <w:t xml:space="preserve">Profit before Tax </w:t>
      </w:r>
    </w:p>
    <w:p w:rsidR="00000000" w:rsidRDefault="004D7F71">
      <w:pPr>
        <w:pStyle w:val="DefaultParagraphFont"/>
        <w:widowControl w:val="0"/>
        <w:numPr>
          <w:ilvl w:val="3"/>
          <w:numId w:val="26"/>
        </w:numPr>
        <w:tabs>
          <w:tab w:val="clear" w:pos="2880"/>
          <w:tab w:val="num" w:pos="2780"/>
        </w:tabs>
        <w:overflowPunct w:val="0"/>
        <w:autoSpaceDE w:val="0"/>
        <w:autoSpaceDN w:val="0"/>
        <w:adjustRightInd w:val="0"/>
        <w:spacing w:after="0" w:line="238" w:lineRule="auto"/>
        <w:ind w:left="2780" w:hanging="663"/>
        <w:jc w:val="both"/>
        <w:rPr>
          <w:rFonts w:ascii="Verdana" w:hAnsi="Verdana" w:cs="Verdana"/>
          <w:sz w:val="24"/>
          <w:szCs w:val="24"/>
        </w:rPr>
      </w:pPr>
      <w:r>
        <w:rPr>
          <w:rFonts w:ascii="Verdana" w:hAnsi="Verdana" w:cs="Verdana"/>
          <w:sz w:val="24"/>
          <w:szCs w:val="24"/>
        </w:rPr>
        <w:t xml:space="preserve">Provision for Tax </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9" w:name="page9"/>
      <w:bookmarkEnd w:id="9"/>
    </w:p>
    <w:p w:rsidR="00000000" w:rsidRDefault="004D7F71">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2220"/>
        <w:rPr>
          <w:rFonts w:ascii="Times New Roman" w:hAnsi="Times New Roman" w:cs="Times New Roman"/>
          <w:sz w:val="24"/>
          <w:szCs w:val="24"/>
        </w:rPr>
      </w:pPr>
      <w:r>
        <w:rPr>
          <w:rFonts w:ascii="Verdana" w:hAnsi="Verdana" w:cs="Verdana"/>
          <w:sz w:val="24"/>
          <w:szCs w:val="24"/>
        </w:rPr>
        <w:t>(viii)  Profit after Tax</w:t>
      </w:r>
    </w:p>
    <w:p w:rsidR="00000000" w:rsidRDefault="004D7F71">
      <w:pPr>
        <w:pStyle w:val="DefaultParagraphFont"/>
        <w:widowControl w:val="0"/>
        <w:numPr>
          <w:ilvl w:val="4"/>
          <w:numId w:val="27"/>
        </w:numPr>
        <w:tabs>
          <w:tab w:val="clear" w:pos="3600"/>
          <w:tab w:val="num" w:pos="2900"/>
        </w:tabs>
        <w:overflowPunct w:val="0"/>
        <w:autoSpaceDE w:val="0"/>
        <w:autoSpaceDN w:val="0"/>
        <w:adjustRightInd w:val="0"/>
        <w:spacing w:after="0" w:line="238" w:lineRule="auto"/>
        <w:ind w:left="2900" w:hanging="596"/>
        <w:jc w:val="both"/>
        <w:rPr>
          <w:rFonts w:ascii="Verdana" w:hAnsi="Verdana" w:cs="Verdana"/>
          <w:sz w:val="24"/>
          <w:szCs w:val="24"/>
        </w:rPr>
      </w:pPr>
      <w:r>
        <w:rPr>
          <w:rFonts w:ascii="Verdana" w:hAnsi="Verdana" w:cs="Verdana"/>
          <w:sz w:val="24"/>
          <w:szCs w:val="24"/>
        </w:rPr>
        <w:t xml:space="preserve">Dividend per share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3"/>
          <w:numId w:val="28"/>
        </w:numPr>
        <w:tabs>
          <w:tab w:val="clear" w:pos="2880"/>
          <w:tab w:val="num" w:pos="1733"/>
        </w:tabs>
        <w:overflowPunct w:val="0"/>
        <w:autoSpaceDE w:val="0"/>
        <w:autoSpaceDN w:val="0"/>
        <w:adjustRightInd w:val="0"/>
        <w:spacing w:after="0" w:line="215" w:lineRule="auto"/>
        <w:ind w:left="1440" w:hanging="307"/>
        <w:jc w:val="both"/>
        <w:rPr>
          <w:rFonts w:ascii="Verdana" w:hAnsi="Verdana" w:cs="Verdana"/>
          <w:sz w:val="24"/>
          <w:szCs w:val="24"/>
        </w:rPr>
      </w:pPr>
      <w:r>
        <w:rPr>
          <w:rFonts w:ascii="Verdana" w:hAnsi="Verdana" w:cs="Verdana"/>
          <w:sz w:val="24"/>
          <w:szCs w:val="24"/>
        </w:rPr>
        <w:t xml:space="preserve">any other special features or terms and conditions subject to which the deposit is accepted / renewed. </w:t>
      </w:r>
    </w:p>
    <w:p w:rsidR="00000000" w:rsidRDefault="004D7F71">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4D7F71">
      <w:pPr>
        <w:pStyle w:val="DefaultParagraphFont"/>
        <w:widowControl w:val="0"/>
        <w:numPr>
          <w:ilvl w:val="0"/>
          <w:numId w:val="29"/>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r>
        <w:rPr>
          <w:rFonts w:ascii="Verdana" w:hAnsi="Verdana" w:cs="Verdana"/>
          <w:sz w:val="24"/>
          <w:szCs w:val="24"/>
        </w:rPr>
        <w:t xml:space="preserve">The application form shall also contain the following statements: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2"/>
          <w:numId w:val="29"/>
        </w:numPr>
        <w:tabs>
          <w:tab w:val="clear" w:pos="2160"/>
          <w:tab w:val="num" w:pos="1267"/>
        </w:tabs>
        <w:overflowPunct w:val="0"/>
        <w:autoSpaceDE w:val="0"/>
        <w:autoSpaceDN w:val="0"/>
        <w:adjustRightInd w:val="0"/>
        <w:spacing w:after="0" w:line="223" w:lineRule="auto"/>
        <w:ind w:left="720" w:firstLine="84"/>
        <w:jc w:val="both"/>
        <w:rPr>
          <w:rFonts w:ascii="Verdana" w:hAnsi="Verdana" w:cs="Verdana"/>
          <w:sz w:val="24"/>
          <w:szCs w:val="24"/>
        </w:rPr>
      </w:pPr>
      <w:r>
        <w:rPr>
          <w:rFonts w:ascii="Verdana" w:hAnsi="Verdana" w:cs="Verdana"/>
          <w:sz w:val="24"/>
          <w:szCs w:val="24"/>
        </w:rPr>
        <w:t xml:space="preserve">in case of non- payment of the deposit or part thereof as per the terms and conditions of such deposit, the depositor may approach the Registrar of Companies having jurisdiction over </w:t>
      </w:r>
      <w:r>
        <w:rPr>
          <w:rFonts w:ascii="Verdana" w:hAnsi="Verdana" w:cs="Verdana"/>
          <w:sz w:val="24"/>
          <w:szCs w:val="24"/>
        </w:rPr>
        <w:t xml:space="preserve">the Nidhi.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1"/>
          <w:numId w:val="29"/>
        </w:numPr>
        <w:tabs>
          <w:tab w:val="clear" w:pos="1440"/>
          <w:tab w:val="num" w:pos="1173"/>
        </w:tabs>
        <w:overflowPunct w:val="0"/>
        <w:autoSpaceDE w:val="0"/>
        <w:autoSpaceDN w:val="0"/>
        <w:adjustRightInd w:val="0"/>
        <w:spacing w:after="0" w:line="223" w:lineRule="auto"/>
        <w:ind w:left="720" w:firstLine="0"/>
        <w:jc w:val="both"/>
        <w:rPr>
          <w:rFonts w:ascii="Verdana" w:hAnsi="Verdana" w:cs="Verdana"/>
          <w:sz w:val="24"/>
          <w:szCs w:val="24"/>
        </w:rPr>
      </w:pPr>
      <w:r>
        <w:rPr>
          <w:rFonts w:ascii="Verdana" w:hAnsi="Verdana" w:cs="Verdana"/>
          <w:sz w:val="24"/>
          <w:szCs w:val="24"/>
        </w:rPr>
        <w:t xml:space="preserve">in case of any deficiency of the Nidhi in servicing its depositors, the depositor may approach the National Consumers Disputes Redressal Forum, the State Level Consumers Disputes Redressal Forum or </w:t>
      </w:r>
    </w:p>
    <w:p w:rsidR="00000000" w:rsidRDefault="004D7F71">
      <w:pPr>
        <w:pStyle w:val="DefaultParagraphFont"/>
        <w:widowControl w:val="0"/>
        <w:autoSpaceDE w:val="0"/>
        <w:autoSpaceDN w:val="0"/>
        <w:adjustRightInd w:val="0"/>
        <w:spacing w:after="0" w:line="6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left="720"/>
        <w:rPr>
          <w:rFonts w:ascii="Times New Roman" w:hAnsi="Times New Roman" w:cs="Times New Roman"/>
          <w:sz w:val="24"/>
          <w:szCs w:val="24"/>
        </w:rPr>
      </w:pPr>
      <w:r>
        <w:rPr>
          <w:rFonts w:ascii="Verdana" w:hAnsi="Verdana" w:cs="Verdana"/>
          <w:sz w:val="24"/>
          <w:szCs w:val="24"/>
        </w:rPr>
        <w:t>District Level Consumers Disputes Redr</w:t>
      </w:r>
      <w:r>
        <w:rPr>
          <w:rFonts w:ascii="Verdana" w:hAnsi="Verdana" w:cs="Verdana"/>
          <w:sz w:val="24"/>
          <w:szCs w:val="24"/>
        </w:rPr>
        <w:t>essal Forum, as the case may be, for relief.</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numPr>
          <w:ilvl w:val="0"/>
          <w:numId w:val="30"/>
        </w:numPr>
        <w:tabs>
          <w:tab w:val="clear" w:pos="720"/>
          <w:tab w:val="num" w:pos="1363"/>
        </w:tabs>
        <w:overflowPunct w:val="0"/>
        <w:autoSpaceDE w:val="0"/>
        <w:autoSpaceDN w:val="0"/>
        <w:adjustRightInd w:val="0"/>
        <w:spacing w:after="0" w:line="227" w:lineRule="auto"/>
        <w:ind w:firstLine="0"/>
        <w:jc w:val="both"/>
        <w:rPr>
          <w:rFonts w:ascii="Verdana" w:hAnsi="Verdana" w:cs="Verdana"/>
          <w:sz w:val="24"/>
          <w:szCs w:val="24"/>
        </w:rPr>
      </w:pPr>
      <w:r>
        <w:rPr>
          <w:rFonts w:ascii="Verdana" w:hAnsi="Verdana" w:cs="Verdana"/>
          <w:sz w:val="24"/>
          <w:szCs w:val="24"/>
        </w:rPr>
        <w:t xml:space="preserve">A declaration by the Board of directors to the effect that the financial position of the Nidhi as disclosed and the representations made in the application form are true and correct and that the Nidhi has </w:t>
      </w:r>
      <w:r>
        <w:rPr>
          <w:rFonts w:ascii="Verdana" w:hAnsi="Verdana" w:cs="Verdana"/>
          <w:sz w:val="24"/>
          <w:szCs w:val="24"/>
        </w:rPr>
        <w:t xml:space="preserve">complied with all the applicable rules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30"/>
        </w:numPr>
        <w:tabs>
          <w:tab w:val="clear" w:pos="720"/>
          <w:tab w:val="num" w:pos="1324"/>
        </w:tabs>
        <w:overflowPunct w:val="0"/>
        <w:autoSpaceDE w:val="0"/>
        <w:autoSpaceDN w:val="0"/>
        <w:adjustRightInd w:val="0"/>
        <w:spacing w:after="0" w:line="230" w:lineRule="auto"/>
        <w:ind w:firstLine="0"/>
        <w:jc w:val="both"/>
        <w:rPr>
          <w:rFonts w:ascii="Verdana" w:hAnsi="Verdana" w:cs="Verdana"/>
          <w:sz w:val="24"/>
          <w:szCs w:val="24"/>
        </w:rPr>
      </w:pPr>
      <w:r>
        <w:rPr>
          <w:rFonts w:ascii="Verdana" w:hAnsi="Verdana" w:cs="Verdana"/>
          <w:sz w:val="24"/>
          <w:szCs w:val="24"/>
        </w:rPr>
        <w:t>A caution to the investor that the Central Government does not undertake any responsibility for the financial soundness of the Nidhi or for the correctness of any of the statement or the representations made or opinions expressed by the Nidhi and for repay</w:t>
      </w:r>
      <w:r>
        <w:rPr>
          <w:rFonts w:ascii="Verdana" w:hAnsi="Verdana" w:cs="Verdana"/>
          <w:sz w:val="24"/>
          <w:szCs w:val="24"/>
        </w:rPr>
        <w:t xml:space="preserve">ment of deposit / discharge of liabilities by the Nidhi.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30"/>
        </w:numPr>
        <w:tabs>
          <w:tab w:val="clear" w:pos="720"/>
          <w:tab w:val="num" w:pos="1157"/>
        </w:tabs>
        <w:overflowPunct w:val="0"/>
        <w:autoSpaceDE w:val="0"/>
        <w:autoSpaceDN w:val="0"/>
        <w:adjustRightInd w:val="0"/>
        <w:spacing w:after="0" w:line="223" w:lineRule="auto"/>
        <w:ind w:firstLine="0"/>
        <w:jc w:val="both"/>
        <w:rPr>
          <w:rFonts w:ascii="Verdana" w:hAnsi="Verdana" w:cs="Verdana"/>
          <w:sz w:val="24"/>
          <w:szCs w:val="24"/>
        </w:rPr>
      </w:pPr>
      <w:r>
        <w:rPr>
          <w:rFonts w:ascii="Verdana" w:hAnsi="Verdana" w:cs="Verdana"/>
          <w:sz w:val="24"/>
          <w:szCs w:val="24"/>
        </w:rPr>
        <w:t xml:space="preserve">At the end of the application form but before the signature of the depositor, the following verification clause by the depositor shall be appended : </w:t>
      </w:r>
    </w:p>
    <w:p w:rsidR="00000000" w:rsidRDefault="004D7F71">
      <w:pPr>
        <w:pStyle w:val="DefaultParagraphFont"/>
        <w:widowControl w:val="0"/>
        <w:autoSpaceDE w:val="0"/>
        <w:autoSpaceDN w:val="0"/>
        <w:adjustRightInd w:val="0"/>
        <w:spacing w:after="0" w:line="356"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4" w:lineRule="auto"/>
        <w:ind w:left="720"/>
        <w:jc w:val="both"/>
        <w:rPr>
          <w:rFonts w:ascii="Times New Roman" w:hAnsi="Times New Roman" w:cs="Times New Roman"/>
          <w:sz w:val="24"/>
          <w:szCs w:val="24"/>
        </w:rPr>
      </w:pPr>
      <w:r>
        <w:rPr>
          <w:rFonts w:ascii="Verdana" w:hAnsi="Verdana" w:cs="Verdana"/>
          <w:sz w:val="24"/>
          <w:szCs w:val="24"/>
        </w:rPr>
        <w:t>“I have read and understood the financial</w:t>
      </w:r>
      <w:r>
        <w:rPr>
          <w:rFonts w:ascii="Verdana" w:hAnsi="Verdana" w:cs="Verdana"/>
          <w:sz w:val="24"/>
          <w:szCs w:val="24"/>
        </w:rPr>
        <w:t xml:space="preserve"> and other particulars furnished and representations made by the Nidhi in this application form and after careful consideration I am making the deposit with the</w:t>
      </w:r>
    </w:p>
    <w:p w:rsidR="00000000" w:rsidRDefault="004D7F71">
      <w:pPr>
        <w:pStyle w:val="DefaultParagraphFont"/>
        <w:widowControl w:val="0"/>
        <w:autoSpaceDE w:val="0"/>
        <w:autoSpaceDN w:val="0"/>
        <w:adjustRightInd w:val="0"/>
        <w:spacing w:after="0" w:line="239" w:lineRule="auto"/>
        <w:ind w:left="720"/>
        <w:rPr>
          <w:rFonts w:ascii="Times New Roman" w:hAnsi="Times New Roman" w:cs="Times New Roman"/>
          <w:sz w:val="24"/>
          <w:szCs w:val="24"/>
        </w:rPr>
      </w:pPr>
      <w:r>
        <w:rPr>
          <w:rFonts w:ascii="Verdana" w:hAnsi="Verdana" w:cs="Verdana"/>
          <w:sz w:val="24"/>
          <w:szCs w:val="24"/>
        </w:rPr>
        <w:t>Nidhi at my own risk and volition.”</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20"/>
        <w:gridCol w:w="1040"/>
        <w:gridCol w:w="1120"/>
        <w:gridCol w:w="960"/>
        <w:gridCol w:w="640"/>
        <w:gridCol w:w="540"/>
        <w:gridCol w:w="580"/>
        <w:gridCol w:w="640"/>
        <w:gridCol w:w="980"/>
        <w:gridCol w:w="880"/>
        <w:gridCol w:w="660"/>
        <w:gridCol w:w="700"/>
      </w:tblGrid>
      <w:tr w:rsidR="00000000">
        <w:tblPrEx>
          <w:tblCellMar>
            <w:top w:w="0" w:type="dxa"/>
            <w:left w:w="0" w:type="dxa"/>
            <w:bottom w:w="0" w:type="dxa"/>
            <w:right w:w="0" w:type="dxa"/>
          </w:tblCellMar>
        </w:tblPrEx>
        <w:trPr>
          <w:trHeight w:val="292"/>
        </w:trPr>
        <w:tc>
          <w:tcPr>
            <w:tcW w:w="62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(iii)</w:t>
            </w:r>
          </w:p>
        </w:tc>
        <w:tc>
          <w:tcPr>
            <w:tcW w:w="10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20"/>
              <w:rPr>
                <w:rFonts w:ascii="Times New Roman" w:hAnsi="Times New Roman" w:cs="Times New Roman"/>
                <w:sz w:val="24"/>
                <w:szCs w:val="24"/>
              </w:rPr>
            </w:pPr>
            <w:r>
              <w:rPr>
                <w:rFonts w:ascii="Verdana" w:hAnsi="Verdana" w:cs="Verdana"/>
                <w:sz w:val="24"/>
                <w:szCs w:val="24"/>
              </w:rPr>
              <w:t>Every</w:t>
            </w:r>
          </w:p>
        </w:tc>
        <w:tc>
          <w:tcPr>
            <w:tcW w:w="112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Verdana" w:hAnsi="Verdana" w:cs="Verdana"/>
                <w:sz w:val="24"/>
                <w:szCs w:val="24"/>
              </w:rPr>
              <w:t>Nidhi</w:t>
            </w:r>
          </w:p>
        </w:tc>
        <w:tc>
          <w:tcPr>
            <w:tcW w:w="96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00"/>
              <w:rPr>
                <w:rFonts w:ascii="Times New Roman" w:hAnsi="Times New Roman" w:cs="Times New Roman"/>
                <w:sz w:val="24"/>
                <w:szCs w:val="24"/>
              </w:rPr>
            </w:pPr>
            <w:r>
              <w:rPr>
                <w:rFonts w:ascii="Verdana" w:hAnsi="Verdana" w:cs="Verdana"/>
                <w:sz w:val="24"/>
                <w:szCs w:val="24"/>
              </w:rPr>
              <w:t>shall</w:t>
            </w:r>
          </w:p>
        </w:tc>
        <w:tc>
          <w:tcPr>
            <w:tcW w:w="118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20"/>
              <w:rPr>
                <w:rFonts w:ascii="Times New Roman" w:hAnsi="Times New Roman" w:cs="Times New Roman"/>
                <w:sz w:val="24"/>
                <w:szCs w:val="24"/>
              </w:rPr>
            </w:pPr>
            <w:r>
              <w:rPr>
                <w:rFonts w:ascii="Verdana" w:hAnsi="Verdana" w:cs="Verdana"/>
                <w:sz w:val="24"/>
                <w:szCs w:val="24"/>
              </w:rPr>
              <w:t>obtain</w:t>
            </w:r>
          </w:p>
        </w:tc>
        <w:tc>
          <w:tcPr>
            <w:tcW w:w="122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00"/>
              <w:rPr>
                <w:rFonts w:ascii="Times New Roman" w:hAnsi="Times New Roman" w:cs="Times New Roman"/>
                <w:sz w:val="24"/>
                <w:szCs w:val="24"/>
              </w:rPr>
            </w:pPr>
            <w:r>
              <w:rPr>
                <w:rFonts w:ascii="Verdana" w:hAnsi="Verdana" w:cs="Verdana"/>
                <w:sz w:val="24"/>
                <w:szCs w:val="24"/>
              </w:rPr>
              <w:t>proper</w:t>
            </w:r>
          </w:p>
        </w:tc>
        <w:tc>
          <w:tcPr>
            <w:tcW w:w="186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00"/>
              <w:rPr>
                <w:rFonts w:ascii="Times New Roman" w:hAnsi="Times New Roman" w:cs="Times New Roman"/>
                <w:sz w:val="24"/>
                <w:szCs w:val="24"/>
              </w:rPr>
            </w:pPr>
            <w:r>
              <w:rPr>
                <w:rFonts w:ascii="Verdana" w:hAnsi="Verdana" w:cs="Verdana"/>
                <w:sz w:val="24"/>
                <w:szCs w:val="24"/>
              </w:rPr>
              <w:t>introduction</w:t>
            </w:r>
          </w:p>
        </w:tc>
        <w:tc>
          <w:tcPr>
            <w:tcW w:w="66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20"/>
              <w:rPr>
                <w:rFonts w:ascii="Times New Roman" w:hAnsi="Times New Roman" w:cs="Times New Roman"/>
                <w:sz w:val="24"/>
                <w:szCs w:val="24"/>
              </w:rPr>
            </w:pPr>
            <w:r>
              <w:rPr>
                <w:rFonts w:ascii="Verdana" w:hAnsi="Verdana" w:cs="Verdana"/>
                <w:sz w:val="24"/>
                <w:szCs w:val="24"/>
              </w:rPr>
              <w:t>of</w:t>
            </w:r>
          </w:p>
        </w:tc>
        <w:tc>
          <w:tcPr>
            <w:tcW w:w="7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Verdana" w:hAnsi="Verdana" w:cs="Verdana"/>
                <w:sz w:val="24"/>
                <w:szCs w:val="24"/>
              </w:rPr>
              <w:t>new</w:t>
            </w:r>
          </w:p>
        </w:tc>
      </w:tr>
      <w:tr w:rsidR="00000000">
        <w:tblPrEx>
          <w:tblCellMar>
            <w:top w:w="0" w:type="dxa"/>
            <w:left w:w="0" w:type="dxa"/>
            <w:bottom w:w="0" w:type="dxa"/>
            <w:right w:w="0" w:type="dxa"/>
          </w:tblCellMar>
        </w:tblPrEx>
        <w:trPr>
          <w:trHeight w:val="293"/>
        </w:trPr>
        <w:tc>
          <w:tcPr>
            <w:tcW w:w="166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depositors</w:t>
            </w:r>
          </w:p>
        </w:tc>
        <w:tc>
          <w:tcPr>
            <w:tcW w:w="112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140"/>
              <w:rPr>
                <w:rFonts w:ascii="Times New Roman" w:hAnsi="Times New Roman" w:cs="Times New Roman"/>
                <w:sz w:val="24"/>
                <w:szCs w:val="24"/>
              </w:rPr>
            </w:pPr>
            <w:r>
              <w:rPr>
                <w:rFonts w:ascii="Verdana" w:hAnsi="Verdana" w:cs="Verdana"/>
                <w:sz w:val="24"/>
                <w:szCs w:val="24"/>
              </w:rPr>
              <w:t>before</w:t>
            </w:r>
          </w:p>
        </w:tc>
        <w:tc>
          <w:tcPr>
            <w:tcW w:w="160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Verdana" w:hAnsi="Verdana" w:cs="Verdana"/>
                <w:sz w:val="24"/>
                <w:szCs w:val="24"/>
              </w:rPr>
              <w:t>opening</w:t>
            </w:r>
          </w:p>
        </w:tc>
        <w:tc>
          <w:tcPr>
            <w:tcW w:w="112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Verdana" w:hAnsi="Verdana" w:cs="Verdana"/>
                <w:sz w:val="24"/>
                <w:szCs w:val="24"/>
              </w:rPr>
              <w:t>their</w:t>
            </w:r>
          </w:p>
        </w:tc>
        <w:tc>
          <w:tcPr>
            <w:tcW w:w="162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Verdana" w:hAnsi="Verdana" w:cs="Verdana"/>
                <w:sz w:val="24"/>
                <w:szCs w:val="24"/>
              </w:rPr>
              <w:t>accounts</w:t>
            </w:r>
          </w:p>
        </w:tc>
        <w:tc>
          <w:tcPr>
            <w:tcW w:w="8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Verdana" w:hAnsi="Verdana" w:cs="Verdana"/>
                <w:sz w:val="24"/>
                <w:szCs w:val="24"/>
              </w:rPr>
              <w:t>or</w:t>
            </w:r>
          </w:p>
        </w:tc>
        <w:tc>
          <w:tcPr>
            <w:tcW w:w="1360" w:type="dxa"/>
            <w:gridSpan w:val="2"/>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Verdana" w:hAnsi="Verdana" w:cs="Verdana"/>
                <w:sz w:val="24"/>
                <w:szCs w:val="24"/>
              </w:rPr>
              <w:t>accepting</w:t>
            </w:r>
          </w:p>
        </w:tc>
      </w:tr>
    </w:tbl>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680" w:header="720" w:footer="720" w:gutter="0"/>
          <w:cols w:space="720" w:equalWidth="0">
            <w:col w:w="12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0" w:name="page10"/>
      <w:bookmarkEnd w:id="10"/>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jc w:val="both"/>
        <w:rPr>
          <w:rFonts w:ascii="Times New Roman" w:hAnsi="Times New Roman" w:cs="Times New Roman"/>
          <w:sz w:val="24"/>
          <w:szCs w:val="24"/>
        </w:rPr>
      </w:pPr>
      <w:r>
        <w:rPr>
          <w:rFonts w:ascii="Verdana" w:hAnsi="Verdana" w:cs="Verdana"/>
          <w:sz w:val="24"/>
          <w:szCs w:val="24"/>
        </w:rPr>
        <w:t>their deposits and keep on its record the evidence on which it has relied upon for the purpose of such introduction.</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Verdana" w:hAnsi="Verdana" w:cs="Verdana"/>
          <w:sz w:val="24"/>
          <w:szCs w:val="24"/>
        </w:rPr>
        <w:t>(iv) For the purposes of introduction of depositors, the Nidhi shall obtain documentary evidence of the depositor in the form of proof of identity and address as under:</w:t>
      </w:r>
    </w:p>
    <w:p w:rsidR="00000000" w:rsidRDefault="004D7F71">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920"/>
        <w:rPr>
          <w:rFonts w:ascii="Times New Roman" w:hAnsi="Times New Roman" w:cs="Times New Roman"/>
          <w:sz w:val="24"/>
          <w:szCs w:val="24"/>
        </w:rPr>
      </w:pPr>
      <w:r>
        <w:rPr>
          <w:rFonts w:ascii="Verdana" w:hAnsi="Verdana" w:cs="Verdana"/>
          <w:b/>
          <w:bCs/>
          <w:sz w:val="24"/>
          <w:szCs w:val="24"/>
        </w:rPr>
        <w:t>(a) Proof of Identity (any one of the following)</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31"/>
        </w:numPr>
        <w:tabs>
          <w:tab w:val="clear" w:pos="720"/>
          <w:tab w:val="num" w:pos="1560"/>
        </w:tabs>
        <w:overflowPunct w:val="0"/>
        <w:autoSpaceDE w:val="0"/>
        <w:autoSpaceDN w:val="0"/>
        <w:adjustRightInd w:val="0"/>
        <w:spacing w:after="0" w:line="240" w:lineRule="auto"/>
        <w:ind w:left="1560" w:hanging="566"/>
        <w:jc w:val="both"/>
        <w:rPr>
          <w:rFonts w:ascii="Verdana" w:hAnsi="Verdana" w:cs="Verdana"/>
          <w:sz w:val="24"/>
          <w:szCs w:val="24"/>
        </w:rPr>
      </w:pPr>
      <w:r>
        <w:rPr>
          <w:rFonts w:ascii="Verdana" w:hAnsi="Verdana" w:cs="Verdana"/>
          <w:sz w:val="24"/>
          <w:szCs w:val="24"/>
        </w:rPr>
        <w:t xml:space="preserve">Passport </w:t>
      </w:r>
    </w:p>
    <w:p w:rsidR="00000000" w:rsidRDefault="004D7F71">
      <w:pPr>
        <w:pStyle w:val="DefaultParagraphFont"/>
        <w:widowControl w:val="0"/>
        <w:numPr>
          <w:ilvl w:val="0"/>
          <w:numId w:val="32"/>
        </w:numPr>
        <w:tabs>
          <w:tab w:val="clear" w:pos="720"/>
          <w:tab w:val="num" w:pos="1560"/>
        </w:tabs>
        <w:overflowPunct w:val="0"/>
        <w:autoSpaceDE w:val="0"/>
        <w:autoSpaceDN w:val="0"/>
        <w:adjustRightInd w:val="0"/>
        <w:spacing w:after="0" w:line="238" w:lineRule="auto"/>
        <w:ind w:left="1560" w:hanging="566"/>
        <w:jc w:val="both"/>
        <w:rPr>
          <w:rFonts w:ascii="Verdana" w:hAnsi="Verdana" w:cs="Verdana"/>
          <w:sz w:val="24"/>
          <w:szCs w:val="24"/>
        </w:rPr>
      </w:pPr>
      <w:r>
        <w:rPr>
          <w:rFonts w:ascii="Verdana" w:hAnsi="Verdana" w:cs="Verdana"/>
          <w:sz w:val="24"/>
          <w:szCs w:val="24"/>
        </w:rPr>
        <w:t>Unique Identifi</w:t>
      </w:r>
      <w:r>
        <w:rPr>
          <w:rFonts w:ascii="Verdana" w:hAnsi="Verdana" w:cs="Verdana"/>
          <w:sz w:val="24"/>
          <w:szCs w:val="24"/>
        </w:rPr>
        <w:t xml:space="preserve">cation Number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0"/>
          <w:numId w:val="33"/>
        </w:numPr>
        <w:tabs>
          <w:tab w:val="clear" w:pos="720"/>
          <w:tab w:val="num" w:pos="1560"/>
        </w:tabs>
        <w:overflowPunct w:val="0"/>
        <w:autoSpaceDE w:val="0"/>
        <w:autoSpaceDN w:val="0"/>
        <w:adjustRightInd w:val="0"/>
        <w:spacing w:after="0" w:line="240" w:lineRule="auto"/>
        <w:ind w:left="1560" w:hanging="566"/>
        <w:jc w:val="both"/>
        <w:rPr>
          <w:rFonts w:ascii="Verdana" w:hAnsi="Verdana" w:cs="Verdana"/>
          <w:sz w:val="24"/>
          <w:szCs w:val="24"/>
        </w:rPr>
      </w:pPr>
      <w:r>
        <w:rPr>
          <w:rFonts w:ascii="Verdana" w:hAnsi="Verdana" w:cs="Verdana"/>
          <w:sz w:val="24"/>
          <w:szCs w:val="24"/>
        </w:rPr>
        <w:t xml:space="preserve">Income-tax PAN card </w:t>
      </w:r>
    </w:p>
    <w:p w:rsidR="00000000" w:rsidRDefault="004D7F71">
      <w:pPr>
        <w:pStyle w:val="DefaultParagraphFont"/>
        <w:widowControl w:val="0"/>
        <w:numPr>
          <w:ilvl w:val="1"/>
          <w:numId w:val="33"/>
        </w:numPr>
        <w:tabs>
          <w:tab w:val="clear" w:pos="1440"/>
          <w:tab w:val="num" w:pos="1620"/>
        </w:tabs>
        <w:overflowPunct w:val="0"/>
        <w:autoSpaceDE w:val="0"/>
        <w:autoSpaceDN w:val="0"/>
        <w:adjustRightInd w:val="0"/>
        <w:spacing w:after="0" w:line="238" w:lineRule="auto"/>
        <w:ind w:left="1620" w:hanging="626"/>
        <w:jc w:val="both"/>
        <w:rPr>
          <w:rFonts w:ascii="Verdana" w:hAnsi="Verdana" w:cs="Verdana"/>
          <w:sz w:val="24"/>
          <w:szCs w:val="24"/>
        </w:rPr>
      </w:pPr>
      <w:r>
        <w:rPr>
          <w:rFonts w:ascii="Verdana" w:hAnsi="Verdana" w:cs="Verdana"/>
          <w:sz w:val="24"/>
          <w:szCs w:val="24"/>
        </w:rPr>
        <w:t xml:space="preserve">Voter’s Identity Card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1"/>
          <w:numId w:val="33"/>
        </w:numPr>
        <w:tabs>
          <w:tab w:val="clear" w:pos="1440"/>
          <w:tab w:val="num" w:pos="1700"/>
        </w:tabs>
        <w:overflowPunct w:val="0"/>
        <w:autoSpaceDE w:val="0"/>
        <w:autoSpaceDN w:val="0"/>
        <w:adjustRightInd w:val="0"/>
        <w:spacing w:after="0" w:line="240" w:lineRule="auto"/>
        <w:ind w:left="1700" w:hanging="706"/>
        <w:jc w:val="both"/>
        <w:rPr>
          <w:rFonts w:ascii="Verdana" w:hAnsi="Verdana" w:cs="Verdana"/>
          <w:sz w:val="24"/>
          <w:szCs w:val="24"/>
        </w:rPr>
      </w:pPr>
      <w:r>
        <w:rPr>
          <w:rFonts w:ascii="Verdana" w:hAnsi="Verdana" w:cs="Verdana"/>
          <w:sz w:val="24"/>
          <w:szCs w:val="24"/>
        </w:rPr>
        <w:t xml:space="preserve">Driving licence </w:t>
      </w:r>
    </w:p>
    <w:p w:rsidR="00000000" w:rsidRDefault="004D7F71">
      <w:pPr>
        <w:pStyle w:val="DefaultParagraphFont"/>
        <w:widowControl w:val="0"/>
        <w:numPr>
          <w:ilvl w:val="1"/>
          <w:numId w:val="33"/>
        </w:numPr>
        <w:tabs>
          <w:tab w:val="clear" w:pos="1440"/>
          <w:tab w:val="num" w:pos="1700"/>
        </w:tabs>
        <w:overflowPunct w:val="0"/>
        <w:autoSpaceDE w:val="0"/>
        <w:autoSpaceDN w:val="0"/>
        <w:adjustRightInd w:val="0"/>
        <w:spacing w:after="0" w:line="238" w:lineRule="auto"/>
        <w:ind w:left="1700" w:hanging="706"/>
        <w:jc w:val="both"/>
        <w:rPr>
          <w:rFonts w:ascii="Verdana" w:hAnsi="Verdana" w:cs="Verdana"/>
          <w:sz w:val="24"/>
          <w:szCs w:val="24"/>
        </w:rPr>
      </w:pPr>
      <w:r>
        <w:rPr>
          <w:rFonts w:ascii="Verdana" w:hAnsi="Verdana" w:cs="Verdana"/>
          <w:sz w:val="24"/>
          <w:szCs w:val="24"/>
        </w:rPr>
        <w:t xml:space="preserve">Ration Card </w:t>
      </w:r>
    </w:p>
    <w:p w:rsidR="00000000" w:rsidRDefault="004D7F71">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4D7F71">
      <w:pPr>
        <w:pStyle w:val="DefaultParagraphFont"/>
        <w:widowControl w:val="0"/>
        <w:numPr>
          <w:ilvl w:val="0"/>
          <w:numId w:val="34"/>
        </w:numPr>
        <w:tabs>
          <w:tab w:val="clear" w:pos="720"/>
          <w:tab w:val="num" w:pos="1500"/>
        </w:tabs>
        <w:overflowPunct w:val="0"/>
        <w:autoSpaceDE w:val="0"/>
        <w:autoSpaceDN w:val="0"/>
        <w:adjustRightInd w:val="0"/>
        <w:spacing w:after="0" w:line="240" w:lineRule="auto"/>
        <w:ind w:left="1500" w:hanging="516"/>
        <w:jc w:val="both"/>
        <w:rPr>
          <w:rFonts w:ascii="Verdana" w:hAnsi="Verdana" w:cs="Verdana"/>
          <w:b/>
          <w:bCs/>
          <w:sz w:val="24"/>
          <w:szCs w:val="24"/>
        </w:rPr>
      </w:pPr>
      <w:r>
        <w:rPr>
          <w:rFonts w:ascii="Verdana" w:hAnsi="Verdana" w:cs="Verdana"/>
          <w:b/>
          <w:bCs/>
          <w:sz w:val="24"/>
          <w:szCs w:val="24"/>
        </w:rPr>
        <w:t xml:space="preserve">Proof of address (any one of the following) </w:t>
      </w:r>
    </w:p>
    <w:p w:rsidR="00000000" w:rsidRDefault="004D7F71">
      <w:pPr>
        <w:pStyle w:val="DefaultParagraphFont"/>
        <w:widowControl w:val="0"/>
        <w:autoSpaceDE w:val="0"/>
        <w:autoSpaceDN w:val="0"/>
        <w:adjustRightInd w:val="0"/>
        <w:spacing w:after="0" w:line="293" w:lineRule="exact"/>
        <w:rPr>
          <w:rFonts w:ascii="Verdana" w:hAnsi="Verdana" w:cs="Verdana"/>
          <w:b/>
          <w:bCs/>
          <w:sz w:val="24"/>
          <w:szCs w:val="24"/>
        </w:rPr>
      </w:pPr>
    </w:p>
    <w:p w:rsidR="00000000" w:rsidRDefault="004D7F71">
      <w:pPr>
        <w:pStyle w:val="DefaultParagraphFont"/>
        <w:widowControl w:val="0"/>
        <w:numPr>
          <w:ilvl w:val="0"/>
          <w:numId w:val="35"/>
        </w:numPr>
        <w:tabs>
          <w:tab w:val="clear" w:pos="720"/>
          <w:tab w:val="num" w:pos="1740"/>
        </w:tabs>
        <w:overflowPunct w:val="0"/>
        <w:autoSpaceDE w:val="0"/>
        <w:autoSpaceDN w:val="0"/>
        <w:adjustRightInd w:val="0"/>
        <w:spacing w:after="0" w:line="240" w:lineRule="auto"/>
        <w:ind w:left="1740" w:hanging="746"/>
        <w:jc w:val="both"/>
        <w:rPr>
          <w:rFonts w:ascii="Verdana" w:hAnsi="Verdana" w:cs="Verdana"/>
          <w:sz w:val="24"/>
          <w:szCs w:val="24"/>
        </w:rPr>
      </w:pPr>
      <w:r>
        <w:rPr>
          <w:rFonts w:ascii="Verdana" w:hAnsi="Verdana" w:cs="Verdana"/>
          <w:sz w:val="24"/>
          <w:szCs w:val="24"/>
        </w:rPr>
        <w:t xml:space="preserve">Passport </w:t>
      </w:r>
    </w:p>
    <w:p w:rsidR="00000000" w:rsidRDefault="004D7F71">
      <w:pPr>
        <w:pStyle w:val="DefaultParagraphFont"/>
        <w:widowControl w:val="0"/>
        <w:numPr>
          <w:ilvl w:val="0"/>
          <w:numId w:val="36"/>
        </w:numPr>
        <w:tabs>
          <w:tab w:val="clear" w:pos="720"/>
          <w:tab w:val="num" w:pos="1740"/>
        </w:tabs>
        <w:overflowPunct w:val="0"/>
        <w:autoSpaceDE w:val="0"/>
        <w:autoSpaceDN w:val="0"/>
        <w:adjustRightInd w:val="0"/>
        <w:spacing w:after="0" w:line="238" w:lineRule="auto"/>
        <w:ind w:left="1740" w:hanging="746"/>
        <w:jc w:val="both"/>
        <w:rPr>
          <w:rFonts w:ascii="Verdana" w:hAnsi="Verdana" w:cs="Verdana"/>
          <w:sz w:val="24"/>
          <w:szCs w:val="24"/>
        </w:rPr>
      </w:pPr>
      <w:r>
        <w:rPr>
          <w:rFonts w:ascii="Verdana" w:hAnsi="Verdana" w:cs="Verdana"/>
          <w:sz w:val="24"/>
          <w:szCs w:val="24"/>
        </w:rPr>
        <w:t xml:space="preserve">Unique Identification Number </w:t>
      </w:r>
    </w:p>
    <w:p w:rsidR="00000000" w:rsidRDefault="004D7F71">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1000"/>
        <w:rPr>
          <w:rFonts w:ascii="Times New Roman" w:hAnsi="Times New Roman" w:cs="Times New Roman"/>
          <w:sz w:val="24"/>
          <w:szCs w:val="24"/>
        </w:rPr>
      </w:pPr>
      <w:r>
        <w:rPr>
          <w:rFonts w:ascii="Verdana" w:hAnsi="Verdana" w:cs="Verdana"/>
          <w:sz w:val="24"/>
          <w:szCs w:val="24"/>
        </w:rPr>
        <w:t>(iii)   Voter’s Identity Card</w:t>
      </w:r>
    </w:p>
    <w:p w:rsidR="00000000" w:rsidRDefault="004D7F71">
      <w:pPr>
        <w:pStyle w:val="DefaultParagraphFont"/>
        <w:widowControl w:val="0"/>
        <w:numPr>
          <w:ilvl w:val="0"/>
          <w:numId w:val="37"/>
        </w:numPr>
        <w:tabs>
          <w:tab w:val="clear" w:pos="720"/>
          <w:tab w:val="num" w:pos="1740"/>
        </w:tabs>
        <w:overflowPunct w:val="0"/>
        <w:autoSpaceDE w:val="0"/>
        <w:autoSpaceDN w:val="0"/>
        <w:adjustRightInd w:val="0"/>
        <w:spacing w:after="0" w:line="238" w:lineRule="auto"/>
        <w:ind w:left="1740" w:hanging="729"/>
        <w:jc w:val="both"/>
        <w:rPr>
          <w:rFonts w:ascii="Verdana" w:hAnsi="Verdana" w:cs="Verdana"/>
          <w:sz w:val="24"/>
          <w:szCs w:val="24"/>
        </w:rPr>
      </w:pPr>
      <w:r>
        <w:rPr>
          <w:rFonts w:ascii="Verdana" w:hAnsi="Verdana" w:cs="Verdana"/>
          <w:sz w:val="24"/>
          <w:szCs w:val="24"/>
        </w:rPr>
        <w:t xml:space="preserve">Driving licence </w:t>
      </w:r>
    </w:p>
    <w:p w:rsidR="00000000" w:rsidRDefault="004D7F71">
      <w:pPr>
        <w:pStyle w:val="DefaultParagraphFont"/>
        <w:widowControl w:val="0"/>
        <w:autoSpaceDE w:val="0"/>
        <w:autoSpaceDN w:val="0"/>
        <w:adjustRightInd w:val="0"/>
        <w:spacing w:after="0" w:line="2" w:lineRule="exact"/>
        <w:rPr>
          <w:rFonts w:ascii="Verdana" w:hAnsi="Verdana" w:cs="Verdana"/>
          <w:sz w:val="24"/>
          <w:szCs w:val="24"/>
        </w:rPr>
      </w:pPr>
    </w:p>
    <w:p w:rsidR="00000000" w:rsidRDefault="004D7F71">
      <w:pPr>
        <w:pStyle w:val="DefaultParagraphFont"/>
        <w:widowControl w:val="0"/>
        <w:numPr>
          <w:ilvl w:val="0"/>
          <w:numId w:val="37"/>
        </w:numPr>
        <w:tabs>
          <w:tab w:val="clear" w:pos="720"/>
          <w:tab w:val="num" w:pos="1700"/>
        </w:tabs>
        <w:overflowPunct w:val="0"/>
        <w:autoSpaceDE w:val="0"/>
        <w:autoSpaceDN w:val="0"/>
        <w:adjustRightInd w:val="0"/>
        <w:spacing w:after="0" w:line="240" w:lineRule="auto"/>
        <w:ind w:left="1700" w:hanging="689"/>
        <w:jc w:val="both"/>
        <w:rPr>
          <w:rFonts w:ascii="Verdana" w:hAnsi="Verdana" w:cs="Verdana"/>
          <w:sz w:val="24"/>
          <w:szCs w:val="24"/>
        </w:rPr>
      </w:pPr>
      <w:r>
        <w:rPr>
          <w:rFonts w:ascii="Verdana" w:hAnsi="Verdana" w:cs="Verdana"/>
          <w:sz w:val="24"/>
          <w:szCs w:val="24"/>
        </w:rPr>
        <w:t xml:space="preserve">Ration card </w:t>
      </w:r>
    </w:p>
    <w:p w:rsidR="00000000" w:rsidRDefault="004D7F71">
      <w:pPr>
        <w:pStyle w:val="DefaultParagraphFont"/>
        <w:widowControl w:val="0"/>
        <w:numPr>
          <w:ilvl w:val="0"/>
          <w:numId w:val="37"/>
        </w:numPr>
        <w:tabs>
          <w:tab w:val="clear" w:pos="720"/>
          <w:tab w:val="num" w:pos="1700"/>
        </w:tabs>
        <w:overflowPunct w:val="0"/>
        <w:autoSpaceDE w:val="0"/>
        <w:autoSpaceDN w:val="0"/>
        <w:adjustRightInd w:val="0"/>
        <w:spacing w:after="0" w:line="239" w:lineRule="auto"/>
        <w:ind w:left="1700" w:hanging="689"/>
        <w:jc w:val="both"/>
        <w:rPr>
          <w:rFonts w:ascii="Verdana" w:hAnsi="Verdana" w:cs="Verdana"/>
          <w:sz w:val="24"/>
          <w:szCs w:val="24"/>
        </w:rPr>
      </w:pPr>
      <w:r>
        <w:rPr>
          <w:rFonts w:ascii="Verdana" w:hAnsi="Verdana" w:cs="Verdana"/>
          <w:sz w:val="24"/>
          <w:szCs w:val="24"/>
        </w:rPr>
        <w:t xml:space="preserve">Telephone bill </w:t>
      </w:r>
    </w:p>
    <w:p w:rsidR="00000000" w:rsidRDefault="004D7F71">
      <w:pPr>
        <w:pStyle w:val="DefaultParagraphFont"/>
        <w:widowControl w:val="0"/>
        <w:autoSpaceDE w:val="0"/>
        <w:autoSpaceDN w:val="0"/>
        <w:adjustRightInd w:val="0"/>
        <w:spacing w:after="0" w:line="1" w:lineRule="exact"/>
        <w:rPr>
          <w:rFonts w:ascii="Verdana" w:hAnsi="Verdana" w:cs="Verdana"/>
          <w:sz w:val="24"/>
          <w:szCs w:val="24"/>
        </w:rPr>
      </w:pPr>
    </w:p>
    <w:p w:rsidR="00000000" w:rsidRDefault="004D7F71">
      <w:pPr>
        <w:pStyle w:val="DefaultParagraphFont"/>
        <w:widowControl w:val="0"/>
        <w:numPr>
          <w:ilvl w:val="0"/>
          <w:numId w:val="37"/>
        </w:numPr>
        <w:tabs>
          <w:tab w:val="clear" w:pos="720"/>
          <w:tab w:val="num" w:pos="1740"/>
        </w:tabs>
        <w:overflowPunct w:val="0"/>
        <w:autoSpaceDE w:val="0"/>
        <w:autoSpaceDN w:val="0"/>
        <w:adjustRightInd w:val="0"/>
        <w:spacing w:after="0" w:line="240" w:lineRule="auto"/>
        <w:ind w:left="1740" w:hanging="729"/>
        <w:jc w:val="both"/>
        <w:rPr>
          <w:rFonts w:ascii="Verdana" w:hAnsi="Verdana" w:cs="Verdana"/>
          <w:sz w:val="24"/>
          <w:szCs w:val="24"/>
        </w:rPr>
      </w:pPr>
      <w:r>
        <w:rPr>
          <w:rFonts w:ascii="Verdana" w:hAnsi="Verdana" w:cs="Verdana"/>
          <w:sz w:val="24"/>
          <w:szCs w:val="24"/>
        </w:rPr>
        <w:t xml:space="preserve">Bank account statement </w:t>
      </w:r>
    </w:p>
    <w:p w:rsidR="00000000" w:rsidRDefault="004D7F71">
      <w:pPr>
        <w:pStyle w:val="DefaultParagraphFont"/>
        <w:widowControl w:val="0"/>
        <w:numPr>
          <w:ilvl w:val="0"/>
          <w:numId w:val="37"/>
        </w:numPr>
        <w:tabs>
          <w:tab w:val="clear" w:pos="720"/>
          <w:tab w:val="num" w:pos="1740"/>
        </w:tabs>
        <w:overflowPunct w:val="0"/>
        <w:autoSpaceDE w:val="0"/>
        <w:autoSpaceDN w:val="0"/>
        <w:adjustRightInd w:val="0"/>
        <w:spacing w:after="0" w:line="238" w:lineRule="auto"/>
        <w:ind w:left="1740" w:hanging="729"/>
        <w:jc w:val="both"/>
        <w:rPr>
          <w:rFonts w:ascii="Verdana" w:hAnsi="Verdana" w:cs="Verdana"/>
          <w:sz w:val="24"/>
          <w:szCs w:val="24"/>
        </w:rPr>
      </w:pPr>
      <w:r>
        <w:rPr>
          <w:rFonts w:ascii="Verdana" w:hAnsi="Verdana" w:cs="Verdana"/>
          <w:sz w:val="24"/>
          <w:szCs w:val="24"/>
        </w:rPr>
        <w:t xml:space="preserve">Electricity bill </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rPr>
          <w:rFonts w:ascii="Times New Roman" w:hAnsi="Times New Roman" w:cs="Times New Roman"/>
          <w:sz w:val="24"/>
          <w:szCs w:val="24"/>
        </w:rPr>
      </w:pPr>
      <w:r>
        <w:rPr>
          <w:rFonts w:ascii="Verdana" w:hAnsi="Verdana" w:cs="Verdana"/>
          <w:sz w:val="24"/>
          <w:szCs w:val="24"/>
        </w:rPr>
        <w:t>(documents referred to Sl. Nos. (v), (vi) and (vii) above should not be more than two months old)</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4D7F71">
      <w:pPr>
        <w:pStyle w:val="DefaultParagraphFont"/>
        <w:widowControl w:val="0"/>
        <w:numPr>
          <w:ilvl w:val="1"/>
          <w:numId w:val="38"/>
        </w:numPr>
        <w:tabs>
          <w:tab w:val="clear" w:pos="1440"/>
          <w:tab w:val="num" w:pos="920"/>
        </w:tabs>
        <w:overflowPunct w:val="0"/>
        <w:autoSpaceDE w:val="0"/>
        <w:autoSpaceDN w:val="0"/>
        <w:adjustRightInd w:val="0"/>
        <w:spacing w:after="0" w:line="240" w:lineRule="auto"/>
        <w:ind w:left="920" w:hanging="838"/>
        <w:jc w:val="both"/>
        <w:rPr>
          <w:rFonts w:ascii="Verdana" w:hAnsi="Verdana" w:cs="Verdana"/>
          <w:b/>
          <w:bCs/>
          <w:sz w:val="24"/>
          <w:szCs w:val="24"/>
        </w:rPr>
      </w:pPr>
      <w:r>
        <w:rPr>
          <w:rFonts w:ascii="Verdana" w:hAnsi="Verdana" w:cs="Verdana"/>
          <w:b/>
          <w:bCs/>
          <w:sz w:val="24"/>
          <w:szCs w:val="24"/>
        </w:rPr>
        <w:t xml:space="preserve">Deposits: </w:t>
      </w:r>
    </w:p>
    <w:p w:rsidR="00000000" w:rsidRDefault="004D7F71">
      <w:pPr>
        <w:pStyle w:val="DefaultParagraphFont"/>
        <w:widowControl w:val="0"/>
        <w:autoSpaceDE w:val="0"/>
        <w:autoSpaceDN w:val="0"/>
        <w:adjustRightInd w:val="0"/>
        <w:spacing w:after="0" w:line="352" w:lineRule="exact"/>
        <w:rPr>
          <w:rFonts w:ascii="Verdana" w:hAnsi="Verdana" w:cs="Verdana"/>
          <w:b/>
          <w:bCs/>
          <w:sz w:val="24"/>
          <w:szCs w:val="24"/>
        </w:rPr>
      </w:pPr>
    </w:p>
    <w:p w:rsidR="00000000" w:rsidRDefault="004D7F71">
      <w:pPr>
        <w:pStyle w:val="DefaultParagraphFont"/>
        <w:widowControl w:val="0"/>
        <w:numPr>
          <w:ilvl w:val="0"/>
          <w:numId w:val="39"/>
        </w:numPr>
        <w:tabs>
          <w:tab w:val="clear" w:pos="720"/>
          <w:tab w:val="num" w:pos="379"/>
        </w:tabs>
        <w:overflowPunct w:val="0"/>
        <w:autoSpaceDE w:val="0"/>
        <w:autoSpaceDN w:val="0"/>
        <w:adjustRightInd w:val="0"/>
        <w:spacing w:after="0" w:line="215" w:lineRule="auto"/>
        <w:ind w:left="0" w:firstLine="0"/>
        <w:jc w:val="both"/>
        <w:rPr>
          <w:rFonts w:ascii="Verdana" w:hAnsi="Verdana" w:cs="Verdana"/>
          <w:sz w:val="24"/>
          <w:szCs w:val="24"/>
        </w:rPr>
      </w:pPr>
      <w:r>
        <w:rPr>
          <w:rFonts w:ascii="Verdana" w:hAnsi="Verdana" w:cs="Verdana"/>
          <w:sz w:val="24"/>
          <w:szCs w:val="24"/>
        </w:rPr>
        <w:t xml:space="preserve">Fixed deposits shall be accepted for a minimum period of six months and a maximum period of sixty months.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0"/>
          <w:numId w:val="39"/>
        </w:numPr>
        <w:tabs>
          <w:tab w:val="clear" w:pos="720"/>
          <w:tab w:val="num" w:pos="490"/>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Recurring deposits shall be accepted for a minimum period of twelve months and a maximum period of sixty months. In case of recurring deposits</w:t>
      </w:r>
      <w:r>
        <w:rPr>
          <w:rFonts w:ascii="Verdana" w:hAnsi="Verdana" w:cs="Verdana"/>
          <w:sz w:val="24"/>
          <w:szCs w:val="24"/>
        </w:rPr>
        <w:t xml:space="preserve"> relating to mortgage loans, the maximum period of recurring deposits shall correspond to the repayment period of such loans granted by the Nidhi. </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560" w:header="720" w:footer="720" w:gutter="0"/>
          <w:cols w:space="720" w:equalWidth="0">
            <w:col w:w="24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1" w:name="page11"/>
      <w:bookmarkEnd w:id="11"/>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numPr>
          <w:ilvl w:val="0"/>
          <w:numId w:val="40"/>
        </w:numPr>
        <w:tabs>
          <w:tab w:val="clear" w:pos="720"/>
          <w:tab w:val="num" w:pos="607"/>
        </w:tabs>
        <w:overflowPunct w:val="0"/>
        <w:autoSpaceDE w:val="0"/>
        <w:autoSpaceDN w:val="0"/>
        <w:adjustRightInd w:val="0"/>
        <w:spacing w:after="0" w:line="230" w:lineRule="auto"/>
        <w:ind w:left="0" w:firstLine="0"/>
        <w:jc w:val="both"/>
        <w:rPr>
          <w:rFonts w:ascii="Verdana" w:hAnsi="Verdana" w:cs="Verdana"/>
          <w:sz w:val="24"/>
          <w:szCs w:val="24"/>
        </w:rPr>
      </w:pPr>
      <w:r>
        <w:rPr>
          <w:rFonts w:ascii="Verdana" w:hAnsi="Verdana" w:cs="Verdana"/>
          <w:sz w:val="24"/>
          <w:szCs w:val="24"/>
        </w:rPr>
        <w:t>Savings deposit account shall be opened, provided the maximum balance at any given time qualifying for interest does not exceed fifty thousand rupees at any point of time and the rate of interest shall not exceed two per cent above the rate of interest pay</w:t>
      </w:r>
      <w:r>
        <w:rPr>
          <w:rFonts w:ascii="Verdana" w:hAnsi="Verdana" w:cs="Verdana"/>
          <w:sz w:val="24"/>
          <w:szCs w:val="24"/>
        </w:rPr>
        <w:t xml:space="preserve">able on savings bank account by nationalized banks. </w:t>
      </w:r>
    </w:p>
    <w:p w:rsidR="00000000" w:rsidRDefault="004D7F71">
      <w:pPr>
        <w:pStyle w:val="DefaultParagraphFont"/>
        <w:widowControl w:val="0"/>
        <w:autoSpaceDE w:val="0"/>
        <w:autoSpaceDN w:val="0"/>
        <w:adjustRightInd w:val="0"/>
        <w:spacing w:after="0" w:line="354" w:lineRule="exact"/>
        <w:rPr>
          <w:rFonts w:ascii="Verdana" w:hAnsi="Verdana" w:cs="Verdana"/>
          <w:sz w:val="24"/>
          <w:szCs w:val="24"/>
        </w:rPr>
      </w:pPr>
    </w:p>
    <w:p w:rsidR="00000000" w:rsidRDefault="004D7F71">
      <w:pPr>
        <w:pStyle w:val="DefaultParagraphFont"/>
        <w:widowControl w:val="0"/>
        <w:numPr>
          <w:ilvl w:val="0"/>
          <w:numId w:val="40"/>
        </w:numPr>
        <w:tabs>
          <w:tab w:val="clear" w:pos="720"/>
          <w:tab w:val="num" w:pos="530"/>
        </w:tabs>
        <w:overflowPunct w:val="0"/>
        <w:autoSpaceDE w:val="0"/>
        <w:autoSpaceDN w:val="0"/>
        <w:adjustRightInd w:val="0"/>
        <w:spacing w:after="0" w:line="227" w:lineRule="auto"/>
        <w:ind w:left="0" w:firstLine="0"/>
        <w:jc w:val="both"/>
        <w:rPr>
          <w:rFonts w:ascii="Verdana" w:hAnsi="Verdana" w:cs="Verdana"/>
          <w:sz w:val="24"/>
          <w:szCs w:val="24"/>
        </w:rPr>
      </w:pPr>
      <w:r>
        <w:rPr>
          <w:rFonts w:ascii="Verdana" w:hAnsi="Verdana" w:cs="Verdana"/>
          <w:sz w:val="24"/>
          <w:szCs w:val="24"/>
        </w:rPr>
        <w:t>A Nidhi may offer interest on fixed and recurring deposits at a rate not exceeding the maximum rate of interest prescribed by the Reserve Bank of India which the Non-Banking Financial Companies ca</w:t>
      </w:r>
      <w:r>
        <w:rPr>
          <w:rFonts w:ascii="Verdana" w:hAnsi="Verdana" w:cs="Verdana"/>
          <w:sz w:val="24"/>
          <w:szCs w:val="24"/>
        </w:rPr>
        <w:t xml:space="preserve">n pay on their public deposits.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40"/>
        </w:numPr>
        <w:tabs>
          <w:tab w:val="clear" w:pos="720"/>
          <w:tab w:val="num" w:pos="1054"/>
        </w:tabs>
        <w:overflowPunct w:val="0"/>
        <w:autoSpaceDE w:val="0"/>
        <w:autoSpaceDN w:val="0"/>
        <w:adjustRightInd w:val="0"/>
        <w:spacing w:after="0" w:line="216" w:lineRule="auto"/>
        <w:ind w:left="0" w:firstLine="0"/>
        <w:jc w:val="both"/>
        <w:rPr>
          <w:rFonts w:ascii="Verdana" w:hAnsi="Verdana" w:cs="Verdana"/>
          <w:sz w:val="24"/>
          <w:szCs w:val="24"/>
        </w:rPr>
      </w:pPr>
      <w:r>
        <w:rPr>
          <w:rFonts w:ascii="Verdana" w:hAnsi="Verdana" w:cs="Verdana"/>
          <w:sz w:val="24"/>
          <w:szCs w:val="24"/>
        </w:rPr>
        <w:t xml:space="preserve">A Fixed Deposit Account or a Recurring Deposit Account may be foreclosed by the depositor subject to the following conditions: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1"/>
          <w:numId w:val="40"/>
        </w:numPr>
        <w:tabs>
          <w:tab w:val="clear" w:pos="1440"/>
          <w:tab w:val="num" w:pos="1192"/>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a Nidhi shall not rep</w:t>
      </w:r>
      <w:r>
        <w:rPr>
          <w:rFonts w:ascii="Verdana" w:hAnsi="Verdana" w:cs="Verdana"/>
          <w:sz w:val="24"/>
          <w:szCs w:val="24"/>
        </w:rPr>
        <w:t xml:space="preserve">ay any deposit within a period of three months from the date of its acceptance;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1"/>
          <w:numId w:val="40"/>
        </w:numPr>
        <w:tabs>
          <w:tab w:val="clear" w:pos="1440"/>
          <w:tab w:val="num" w:pos="1113"/>
        </w:tabs>
        <w:overflowPunct w:val="0"/>
        <w:autoSpaceDE w:val="0"/>
        <w:autoSpaceDN w:val="0"/>
        <w:adjustRightInd w:val="0"/>
        <w:spacing w:after="0" w:line="223" w:lineRule="auto"/>
        <w:ind w:left="580" w:hanging="1"/>
        <w:jc w:val="both"/>
        <w:rPr>
          <w:rFonts w:ascii="Verdana" w:hAnsi="Verdana" w:cs="Verdana"/>
          <w:sz w:val="24"/>
          <w:szCs w:val="24"/>
        </w:rPr>
      </w:pPr>
      <w:r>
        <w:rPr>
          <w:rFonts w:ascii="Verdana" w:hAnsi="Verdana" w:cs="Verdana"/>
          <w:sz w:val="24"/>
          <w:szCs w:val="24"/>
        </w:rPr>
        <w:t>where at the request of the depositor, a Nidhi repays any deposit after a period of three months, the depositor shall not be entitled to any interest up to six months fr</w:t>
      </w:r>
      <w:r>
        <w:rPr>
          <w:rFonts w:ascii="Verdana" w:hAnsi="Verdana" w:cs="Verdana"/>
          <w:sz w:val="24"/>
          <w:szCs w:val="24"/>
        </w:rPr>
        <w:t xml:space="preserve">om the date of deposit;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1"/>
          <w:numId w:val="40"/>
        </w:numPr>
        <w:tabs>
          <w:tab w:val="clear" w:pos="1440"/>
          <w:tab w:val="num" w:pos="1189"/>
        </w:tabs>
        <w:overflowPunct w:val="0"/>
        <w:autoSpaceDE w:val="0"/>
        <w:autoSpaceDN w:val="0"/>
        <w:adjustRightInd w:val="0"/>
        <w:spacing w:after="0" w:line="231" w:lineRule="auto"/>
        <w:ind w:left="580" w:hanging="1"/>
        <w:jc w:val="both"/>
        <w:rPr>
          <w:rFonts w:ascii="Verdana" w:hAnsi="Verdana" w:cs="Verdana"/>
          <w:sz w:val="24"/>
          <w:szCs w:val="24"/>
        </w:rPr>
      </w:pPr>
      <w:r>
        <w:rPr>
          <w:rFonts w:ascii="Verdana" w:hAnsi="Verdana" w:cs="Verdana"/>
          <w:sz w:val="24"/>
          <w:szCs w:val="24"/>
        </w:rPr>
        <w:t xml:space="preserve">where at the request of the depositor, a Nidhi makes repayment of a deposit before the expiry of the period for which such deposit was accepted by the Nidhi, the rate of interest payable by the Nidhi on such deposit shall be </w:t>
      </w:r>
      <w:r>
        <w:rPr>
          <w:rFonts w:ascii="Verdana" w:hAnsi="Verdana" w:cs="Verdana"/>
          <w:sz w:val="24"/>
          <w:szCs w:val="24"/>
        </w:rPr>
        <w:t xml:space="preserve">reduced by two percent from the rate which the Nidhi would have ordinarily paid, had the deposit been accepted for the period for which such deposit had run. </w:t>
      </w:r>
    </w:p>
    <w:p w:rsidR="00000000" w:rsidRDefault="004D7F71">
      <w:pPr>
        <w:pStyle w:val="DefaultParagraphFont"/>
        <w:widowControl w:val="0"/>
        <w:autoSpaceDE w:val="0"/>
        <w:autoSpaceDN w:val="0"/>
        <w:adjustRightInd w:val="0"/>
        <w:spacing w:after="0" w:line="356"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2" w:lineRule="auto"/>
        <w:ind w:left="58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in the event of death of a depositor, the deposit may be</w:t>
      </w:r>
      <w:r>
        <w:rPr>
          <w:rFonts w:ascii="Verdana" w:hAnsi="Verdana" w:cs="Verdana"/>
          <w:b/>
          <w:bCs/>
          <w:sz w:val="24"/>
          <w:szCs w:val="24"/>
        </w:rPr>
        <w:t xml:space="preserve"> </w:t>
      </w:r>
      <w:r>
        <w:rPr>
          <w:rFonts w:ascii="Verdana" w:hAnsi="Verdana" w:cs="Verdana"/>
          <w:sz w:val="24"/>
          <w:szCs w:val="24"/>
        </w:rPr>
        <w:t>repaid prematurely to the</w:t>
      </w:r>
      <w:r>
        <w:rPr>
          <w:rFonts w:ascii="Verdana" w:hAnsi="Verdana" w:cs="Verdana"/>
          <w:sz w:val="24"/>
          <w:szCs w:val="24"/>
        </w:rPr>
        <w:t xml:space="preserve"> surviving depositor/s in the case of joint holding with survivor clause, or to the nominee or to legal heir/s with interest up to the date of repayment at the rate which the company would have ordinarily paid, had such deposit been accepted for the period</w:t>
      </w:r>
      <w:r>
        <w:rPr>
          <w:rFonts w:ascii="Verdana" w:hAnsi="Verdana" w:cs="Verdana"/>
          <w:sz w:val="24"/>
          <w:szCs w:val="24"/>
        </w:rPr>
        <w:t xml:space="preserve"> for which such deposit had run.</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6" w:lineRule="exact"/>
        <w:rPr>
          <w:rFonts w:ascii="Times New Roman" w:hAnsi="Times New Roman" w:cs="Times New Roman"/>
          <w:sz w:val="24"/>
          <w:szCs w:val="24"/>
        </w:rPr>
      </w:pPr>
    </w:p>
    <w:p w:rsidR="00000000" w:rsidRDefault="004D7F71">
      <w:pPr>
        <w:pStyle w:val="DefaultParagraphFont"/>
        <w:widowControl w:val="0"/>
        <w:numPr>
          <w:ilvl w:val="0"/>
          <w:numId w:val="41"/>
        </w:numPr>
        <w:tabs>
          <w:tab w:val="clear" w:pos="720"/>
          <w:tab w:val="num" w:pos="1320"/>
        </w:tabs>
        <w:overflowPunct w:val="0"/>
        <w:autoSpaceDE w:val="0"/>
        <w:autoSpaceDN w:val="0"/>
        <w:adjustRightInd w:val="0"/>
        <w:spacing w:after="0" w:line="240" w:lineRule="auto"/>
        <w:ind w:left="1320" w:hanging="1320"/>
        <w:jc w:val="both"/>
        <w:rPr>
          <w:rFonts w:ascii="Verdana" w:hAnsi="Verdana" w:cs="Verdana"/>
          <w:b/>
          <w:bCs/>
          <w:sz w:val="24"/>
          <w:szCs w:val="24"/>
        </w:rPr>
      </w:pPr>
      <w:r>
        <w:rPr>
          <w:rFonts w:ascii="Verdana" w:hAnsi="Verdana" w:cs="Verdana"/>
          <w:b/>
          <w:bCs/>
          <w:sz w:val="24"/>
          <w:szCs w:val="24"/>
        </w:rPr>
        <w:t>Un-encumbered Term Deposits</w:t>
      </w:r>
      <w:r>
        <w:rPr>
          <w:rFonts w:ascii="Verdana" w:hAnsi="Verdana" w:cs="Verdana"/>
          <w:sz w:val="24"/>
          <w:szCs w:val="24"/>
        </w:rPr>
        <w:t>:</w:t>
      </w:r>
      <w:r>
        <w:rPr>
          <w:rFonts w:ascii="Verdana" w:hAnsi="Verdana" w:cs="Verdana"/>
          <w:b/>
          <w:bCs/>
          <w:sz w:val="24"/>
          <w:szCs w:val="24"/>
        </w:rPr>
        <w:t xml:space="preserve">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left="580"/>
        <w:rPr>
          <w:rFonts w:ascii="Times New Roman" w:hAnsi="Times New Roman" w:cs="Times New Roman"/>
          <w:sz w:val="24"/>
          <w:szCs w:val="24"/>
        </w:rPr>
      </w:pPr>
      <w:r>
        <w:rPr>
          <w:rFonts w:ascii="Verdana" w:hAnsi="Verdana" w:cs="Verdana"/>
          <w:sz w:val="24"/>
          <w:szCs w:val="24"/>
        </w:rPr>
        <w:t>Every Nidhi shall invest and continue to keep invested, in unencumbered term deposits with a scheduled commercial bank (other</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11</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2" w:name="page12"/>
      <w:bookmarkEnd w:id="12"/>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8" w:lineRule="auto"/>
        <w:ind w:left="580"/>
        <w:jc w:val="both"/>
        <w:rPr>
          <w:rFonts w:ascii="Times New Roman" w:hAnsi="Times New Roman" w:cs="Times New Roman"/>
          <w:sz w:val="24"/>
          <w:szCs w:val="24"/>
        </w:rPr>
      </w:pPr>
      <w:r>
        <w:rPr>
          <w:rFonts w:ascii="Verdana" w:hAnsi="Verdana" w:cs="Verdana"/>
          <w:sz w:val="24"/>
          <w:szCs w:val="24"/>
        </w:rPr>
        <w:t>than a co-operative bank or a regional rural bank), or post office deposits in its own name an amount which shall not be less than ten per cent of the deposits outstanding at the close of business on the last working day of the second preceding month.</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ind w:left="580"/>
        <w:jc w:val="both"/>
        <w:rPr>
          <w:rFonts w:ascii="Times New Roman" w:hAnsi="Times New Roman" w:cs="Times New Roman"/>
          <w:sz w:val="24"/>
          <w:szCs w:val="24"/>
        </w:rPr>
      </w:pPr>
      <w:r>
        <w:rPr>
          <w:rFonts w:ascii="Verdana" w:hAnsi="Verdana" w:cs="Verdana"/>
          <w:sz w:val="24"/>
          <w:szCs w:val="24"/>
        </w:rPr>
        <w:t>Pro</w:t>
      </w:r>
      <w:r>
        <w:rPr>
          <w:rFonts w:ascii="Verdana" w:hAnsi="Verdana" w:cs="Verdana"/>
          <w:sz w:val="24"/>
          <w:szCs w:val="24"/>
        </w:rPr>
        <w:t>vided that in cases of unforeseen commitments, temporary withdrawal may be permitted with the prior approval of the Regional Director for the purpose of repayment to depositors, subject to such conditions and time limit which may be specified by the Region</w:t>
      </w:r>
      <w:r>
        <w:rPr>
          <w:rFonts w:ascii="Verdana" w:hAnsi="Verdana" w:cs="Verdana"/>
          <w:sz w:val="24"/>
          <w:szCs w:val="24"/>
        </w:rPr>
        <w:t>al Director to ensure restoration of the prescribed limit of ten per cent.</w:t>
      </w:r>
    </w:p>
    <w:p w:rsidR="00000000" w:rsidRDefault="004D7F71">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4D7F71">
      <w:pPr>
        <w:pStyle w:val="DefaultParagraphFont"/>
        <w:widowControl w:val="0"/>
        <w:tabs>
          <w:tab w:val="left" w:pos="1800"/>
        </w:tabs>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b/>
          <w:bCs/>
          <w:sz w:val="24"/>
          <w:szCs w:val="24"/>
        </w:rPr>
        <w:t>16</w:t>
      </w:r>
      <w:r>
        <w:rPr>
          <w:rFonts w:ascii="Verdana" w:hAnsi="Verdana" w:cs="Verdana"/>
          <w:sz w:val="24"/>
          <w:szCs w:val="24"/>
        </w:rPr>
        <w:t>.</w:t>
      </w:r>
      <w:r>
        <w:rPr>
          <w:rFonts w:ascii="Times New Roman" w:hAnsi="Times New Roman" w:cs="Times New Roman"/>
          <w:sz w:val="24"/>
          <w:szCs w:val="24"/>
        </w:rPr>
        <w:tab/>
      </w:r>
      <w:r>
        <w:rPr>
          <w:rFonts w:ascii="Verdana" w:hAnsi="Verdana" w:cs="Verdana"/>
          <w:b/>
          <w:bCs/>
          <w:sz w:val="24"/>
          <w:szCs w:val="24"/>
        </w:rPr>
        <w:t>Loans</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42"/>
        </w:numPr>
        <w:tabs>
          <w:tab w:val="clear" w:pos="720"/>
          <w:tab w:val="num" w:pos="940"/>
        </w:tabs>
        <w:overflowPunct w:val="0"/>
        <w:autoSpaceDE w:val="0"/>
        <w:autoSpaceDN w:val="0"/>
        <w:adjustRightInd w:val="0"/>
        <w:spacing w:after="0" w:line="240" w:lineRule="auto"/>
        <w:ind w:left="940" w:hanging="361"/>
        <w:jc w:val="both"/>
        <w:rPr>
          <w:rFonts w:ascii="Verdana" w:hAnsi="Verdana" w:cs="Verdana"/>
          <w:sz w:val="24"/>
          <w:szCs w:val="24"/>
        </w:rPr>
      </w:pPr>
      <w:r>
        <w:rPr>
          <w:rFonts w:ascii="Verdana" w:hAnsi="Verdana" w:cs="Verdana"/>
          <w:sz w:val="24"/>
          <w:szCs w:val="24"/>
        </w:rPr>
        <w:t xml:space="preserve">A Nidhi shall provide loans only to its members. </w:t>
      </w:r>
    </w:p>
    <w:p w:rsidR="00000000" w:rsidRDefault="004D7F71">
      <w:pPr>
        <w:pStyle w:val="DefaultParagraphFont"/>
        <w:widowControl w:val="0"/>
        <w:autoSpaceDE w:val="0"/>
        <w:autoSpaceDN w:val="0"/>
        <w:adjustRightInd w:val="0"/>
        <w:spacing w:after="0" w:line="349" w:lineRule="exact"/>
        <w:rPr>
          <w:rFonts w:ascii="Verdana" w:hAnsi="Verdana" w:cs="Verdana"/>
          <w:sz w:val="24"/>
          <w:szCs w:val="24"/>
        </w:rPr>
      </w:pPr>
    </w:p>
    <w:p w:rsidR="00000000" w:rsidRDefault="004D7F71">
      <w:pPr>
        <w:pStyle w:val="DefaultParagraphFont"/>
        <w:widowControl w:val="0"/>
        <w:numPr>
          <w:ilvl w:val="0"/>
          <w:numId w:val="42"/>
        </w:numPr>
        <w:tabs>
          <w:tab w:val="clear" w:pos="720"/>
          <w:tab w:val="num" w:pos="1082"/>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 xml:space="preserve">Loans given by a Nidhi to any member shall be subject to the following ceiling on each loan: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1"/>
          <w:numId w:val="42"/>
        </w:numPr>
        <w:tabs>
          <w:tab w:val="clear" w:pos="1440"/>
          <w:tab w:val="num" w:pos="2404"/>
        </w:tabs>
        <w:overflowPunct w:val="0"/>
        <w:autoSpaceDE w:val="0"/>
        <w:autoSpaceDN w:val="0"/>
        <w:adjustRightInd w:val="0"/>
        <w:spacing w:after="0" w:line="215" w:lineRule="auto"/>
        <w:ind w:left="1840" w:firstLine="4"/>
        <w:jc w:val="both"/>
        <w:rPr>
          <w:rFonts w:ascii="Verdana" w:hAnsi="Verdana" w:cs="Verdana"/>
          <w:sz w:val="24"/>
          <w:szCs w:val="24"/>
        </w:rPr>
      </w:pPr>
      <w:r>
        <w:rPr>
          <w:rFonts w:ascii="Verdana" w:hAnsi="Verdana" w:cs="Verdana"/>
          <w:sz w:val="24"/>
          <w:szCs w:val="24"/>
        </w:rPr>
        <w:t xml:space="preserve">two lakh rupees, where the total amount of deposits of such Nidhi from its members is less than two crore rupees.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1"/>
          <w:numId w:val="42"/>
        </w:numPr>
        <w:tabs>
          <w:tab w:val="clear" w:pos="1440"/>
          <w:tab w:val="num" w:pos="2375"/>
        </w:tabs>
        <w:overflowPunct w:val="0"/>
        <w:autoSpaceDE w:val="0"/>
        <w:autoSpaceDN w:val="0"/>
        <w:adjustRightInd w:val="0"/>
        <w:spacing w:after="0" w:line="224" w:lineRule="auto"/>
        <w:ind w:left="1840" w:firstLine="4"/>
        <w:jc w:val="both"/>
        <w:rPr>
          <w:rFonts w:ascii="Verdana" w:hAnsi="Verdana" w:cs="Verdana"/>
          <w:sz w:val="24"/>
          <w:szCs w:val="24"/>
        </w:rPr>
      </w:pPr>
      <w:r>
        <w:rPr>
          <w:rFonts w:ascii="Verdana" w:hAnsi="Verdana" w:cs="Verdana"/>
          <w:sz w:val="24"/>
          <w:szCs w:val="24"/>
        </w:rPr>
        <w:t>seven lakh fifty thousand rupees, where the total amount of deposits of such Nidhi from its members is more than two crore rupees but l</w:t>
      </w:r>
      <w:r>
        <w:rPr>
          <w:rFonts w:ascii="Verdana" w:hAnsi="Verdana" w:cs="Verdana"/>
          <w:sz w:val="24"/>
          <w:szCs w:val="24"/>
        </w:rPr>
        <w:t xml:space="preserve">ess than twenty crore rupees.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1"/>
          <w:numId w:val="42"/>
        </w:numPr>
        <w:tabs>
          <w:tab w:val="clear" w:pos="1440"/>
          <w:tab w:val="num" w:pos="2351"/>
        </w:tabs>
        <w:overflowPunct w:val="0"/>
        <w:autoSpaceDE w:val="0"/>
        <w:autoSpaceDN w:val="0"/>
        <w:adjustRightInd w:val="0"/>
        <w:spacing w:after="0" w:line="223" w:lineRule="auto"/>
        <w:ind w:left="1840" w:firstLine="4"/>
        <w:jc w:val="both"/>
        <w:rPr>
          <w:rFonts w:ascii="Verdana" w:hAnsi="Verdana" w:cs="Verdana"/>
          <w:sz w:val="24"/>
          <w:szCs w:val="24"/>
        </w:rPr>
      </w:pPr>
      <w:r>
        <w:rPr>
          <w:rFonts w:ascii="Verdana" w:hAnsi="Verdana" w:cs="Verdana"/>
          <w:sz w:val="24"/>
          <w:szCs w:val="24"/>
        </w:rPr>
        <w:t xml:space="preserve">twelve lakh rupees, where the total amount of deposits of such Nidhi from its members is more than twenty crore rupees but less than fifty crore rupees.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1"/>
          <w:numId w:val="42"/>
        </w:numPr>
        <w:tabs>
          <w:tab w:val="clear" w:pos="1440"/>
          <w:tab w:val="num" w:pos="2298"/>
        </w:tabs>
        <w:overflowPunct w:val="0"/>
        <w:autoSpaceDE w:val="0"/>
        <w:autoSpaceDN w:val="0"/>
        <w:adjustRightInd w:val="0"/>
        <w:spacing w:after="0" w:line="216" w:lineRule="auto"/>
        <w:ind w:left="1840" w:firstLine="4"/>
        <w:jc w:val="both"/>
        <w:rPr>
          <w:rFonts w:ascii="Verdana" w:hAnsi="Verdana" w:cs="Verdana"/>
          <w:sz w:val="24"/>
          <w:szCs w:val="24"/>
        </w:rPr>
      </w:pPr>
      <w:r>
        <w:rPr>
          <w:rFonts w:ascii="Verdana" w:hAnsi="Verdana" w:cs="Verdana"/>
          <w:sz w:val="24"/>
          <w:szCs w:val="24"/>
        </w:rPr>
        <w:t xml:space="preserve">fifteen lakh rupees, where the total amount of deposits of such Nidhi from its members is more than fifty crore rupees: </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ind w:left="1840" w:firstLine="468"/>
        <w:jc w:val="both"/>
        <w:rPr>
          <w:rFonts w:ascii="Times New Roman" w:hAnsi="Times New Roman" w:cs="Times New Roman"/>
          <w:sz w:val="24"/>
          <w:szCs w:val="24"/>
        </w:rPr>
      </w:pPr>
      <w:r>
        <w:rPr>
          <w:rFonts w:ascii="Verdana" w:hAnsi="Verdana" w:cs="Verdana"/>
          <w:sz w:val="24"/>
          <w:szCs w:val="24"/>
        </w:rPr>
        <w:t>Provided that where a Nidhi has not made profits continuously in the three preceding financial years, it shall not make any fresh loan</w:t>
      </w:r>
      <w:r>
        <w:rPr>
          <w:rFonts w:ascii="Verdana" w:hAnsi="Verdana" w:cs="Verdana"/>
          <w:sz w:val="24"/>
          <w:szCs w:val="24"/>
        </w:rPr>
        <w:t>s exceeding fifty per cent. of the maximum amounts of loans specified in clauses (a), (b), (c) or (d) above.</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rPr>
          <w:rFonts w:ascii="Times New Roman" w:hAnsi="Times New Roman" w:cs="Times New Roman"/>
          <w:sz w:val="24"/>
          <w:szCs w:val="24"/>
        </w:rPr>
      </w:pPr>
      <w:r>
        <w:rPr>
          <w:rFonts w:ascii="Verdana" w:hAnsi="Verdana" w:cs="Verdana"/>
          <w:sz w:val="24"/>
          <w:szCs w:val="24"/>
        </w:rPr>
        <w:t>(iii) For the purposes of sub-rule (ii), the amount of deposits shall be calculated based on the last audited annual financial statements.</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12</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560" w:header="720" w:footer="720" w:gutter="0"/>
          <w:cols w:space="720" w:equalWidth="0">
            <w:col w:w="24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3" w:name="page13"/>
      <w:bookmarkEnd w:id="13"/>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rPr>
          <w:rFonts w:ascii="Times New Roman" w:hAnsi="Times New Roman" w:cs="Times New Roman"/>
          <w:sz w:val="24"/>
          <w:szCs w:val="24"/>
        </w:rPr>
      </w:pPr>
      <w:r>
        <w:rPr>
          <w:rFonts w:ascii="Verdana" w:hAnsi="Verdana" w:cs="Verdana"/>
          <w:sz w:val="24"/>
          <w:szCs w:val="24"/>
        </w:rPr>
        <w:t>(iv) A Nidhi shall give loans to its members only against the following securities:</w:t>
      </w:r>
    </w:p>
    <w:p w:rsidR="00000000" w:rsidRDefault="004D7F71">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sz w:val="24"/>
          <w:szCs w:val="24"/>
        </w:rPr>
        <w:t>(a) Gold, silver and jewellery</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left="580" w:firstLine="578"/>
        <w:jc w:val="both"/>
        <w:rPr>
          <w:rFonts w:ascii="Times New Roman" w:hAnsi="Times New Roman" w:cs="Times New Roman"/>
          <w:sz w:val="24"/>
          <w:szCs w:val="24"/>
        </w:rPr>
      </w:pPr>
      <w:r>
        <w:rPr>
          <w:rFonts w:ascii="Verdana" w:hAnsi="Verdana" w:cs="Verdana"/>
          <w:sz w:val="24"/>
          <w:szCs w:val="24"/>
        </w:rPr>
        <w:t>Provided that the repayment period of such loan shall not exceed one year.</w:t>
      </w: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sz w:val="24"/>
          <w:szCs w:val="24"/>
        </w:rPr>
        <w:t>(b)  Immovable property</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4" w:lineRule="auto"/>
        <w:ind w:left="580" w:firstLine="578"/>
        <w:jc w:val="both"/>
        <w:rPr>
          <w:rFonts w:ascii="Times New Roman" w:hAnsi="Times New Roman" w:cs="Times New Roman"/>
          <w:sz w:val="24"/>
          <w:szCs w:val="24"/>
        </w:rPr>
      </w:pPr>
      <w:r>
        <w:rPr>
          <w:rFonts w:ascii="Verdana" w:hAnsi="Verdana" w:cs="Verdana"/>
          <w:sz w:val="24"/>
          <w:szCs w:val="24"/>
        </w:rPr>
        <w:t>Provided that the total loans against immovable property (excluding mortgage loans granted on the security of property by registered mortgage, being a registered mortgage under section 69 of the Transfer of Property Act, 1882) shal</w:t>
      </w:r>
      <w:r>
        <w:rPr>
          <w:rFonts w:ascii="Verdana" w:hAnsi="Verdana" w:cs="Verdana"/>
          <w:sz w:val="24"/>
          <w:szCs w:val="24"/>
        </w:rPr>
        <w:t>l not exceed fifty percent of the overall loan outstanding on the date of approval by the board, the individual loan shall not exceed fifty percent of the value of property offered as security and the period of repayment of such loan shall not exceed seven</w:t>
      </w:r>
      <w:r>
        <w:rPr>
          <w:rFonts w:ascii="Verdana" w:hAnsi="Verdana" w:cs="Verdana"/>
          <w:sz w:val="24"/>
          <w:szCs w:val="24"/>
        </w:rPr>
        <w:t xml:space="preserve"> years.</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ind w:left="580"/>
        <w:jc w:val="both"/>
        <w:rPr>
          <w:rFonts w:ascii="Times New Roman" w:hAnsi="Times New Roman" w:cs="Times New Roman"/>
          <w:sz w:val="24"/>
          <w:szCs w:val="24"/>
        </w:rPr>
      </w:pPr>
      <w:r>
        <w:rPr>
          <w:rFonts w:ascii="Verdana" w:hAnsi="Verdana" w:cs="Verdana"/>
          <w:sz w:val="24"/>
          <w:szCs w:val="24"/>
        </w:rPr>
        <w:t>(c) Fixed deposit receipts, National Savings Certificates, other Government Securities and insurance policies</w:t>
      </w:r>
    </w:p>
    <w:p w:rsidR="00000000" w:rsidRDefault="004D7F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4" w:lineRule="auto"/>
        <w:ind w:left="580" w:firstLine="578"/>
        <w:jc w:val="both"/>
        <w:rPr>
          <w:rFonts w:ascii="Times New Roman" w:hAnsi="Times New Roman" w:cs="Times New Roman"/>
          <w:sz w:val="24"/>
          <w:szCs w:val="24"/>
        </w:rPr>
      </w:pPr>
      <w:r>
        <w:rPr>
          <w:rFonts w:ascii="Verdana" w:hAnsi="Verdana" w:cs="Verdana"/>
          <w:sz w:val="24"/>
          <w:szCs w:val="24"/>
        </w:rPr>
        <w:t>Provided that such securities duly discharged shall be pledged with the Nidhi and the maturity date of such securities shall not fall be</w:t>
      </w:r>
      <w:r>
        <w:rPr>
          <w:rFonts w:ascii="Verdana" w:hAnsi="Verdana" w:cs="Verdana"/>
          <w:sz w:val="24"/>
          <w:szCs w:val="24"/>
        </w:rPr>
        <w:t>yond the loan period or one year whichever is earlier:</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ind w:left="580" w:firstLine="142"/>
        <w:jc w:val="both"/>
        <w:rPr>
          <w:rFonts w:ascii="Times New Roman" w:hAnsi="Times New Roman" w:cs="Times New Roman"/>
          <w:sz w:val="24"/>
          <w:szCs w:val="24"/>
        </w:rPr>
      </w:pPr>
      <w:r>
        <w:rPr>
          <w:rFonts w:ascii="Verdana" w:hAnsi="Verdana" w:cs="Verdana"/>
          <w:sz w:val="24"/>
          <w:szCs w:val="24"/>
        </w:rPr>
        <w:t>Provided further that in the case of loan against fixed deposits, the period of loan shall not exceed the unexpired period of the fixed deposits.</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F71">
      <w:pPr>
        <w:pStyle w:val="DefaultParagraphFont"/>
        <w:widowControl w:val="0"/>
        <w:numPr>
          <w:ilvl w:val="0"/>
          <w:numId w:val="43"/>
        </w:numPr>
        <w:tabs>
          <w:tab w:val="clear" w:pos="720"/>
          <w:tab w:val="num" w:pos="1080"/>
        </w:tabs>
        <w:overflowPunct w:val="0"/>
        <w:autoSpaceDE w:val="0"/>
        <w:autoSpaceDN w:val="0"/>
        <w:adjustRightInd w:val="0"/>
        <w:spacing w:after="0" w:line="240" w:lineRule="auto"/>
        <w:ind w:left="1080" w:hanging="1080"/>
        <w:jc w:val="both"/>
        <w:rPr>
          <w:rFonts w:ascii="Verdana" w:hAnsi="Verdana" w:cs="Verdana"/>
          <w:b/>
          <w:bCs/>
          <w:sz w:val="24"/>
          <w:szCs w:val="24"/>
        </w:rPr>
      </w:pPr>
      <w:r>
        <w:rPr>
          <w:rFonts w:ascii="Verdana" w:hAnsi="Verdana" w:cs="Verdana"/>
          <w:b/>
          <w:bCs/>
          <w:sz w:val="24"/>
          <w:szCs w:val="24"/>
        </w:rPr>
        <w:t xml:space="preserve">Rate of interest </w:t>
      </w:r>
    </w:p>
    <w:p w:rsidR="00000000" w:rsidRDefault="004D7F71">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4" w:lineRule="auto"/>
        <w:jc w:val="both"/>
        <w:rPr>
          <w:rFonts w:ascii="Times New Roman" w:hAnsi="Times New Roman" w:cs="Times New Roman"/>
          <w:sz w:val="24"/>
          <w:szCs w:val="24"/>
        </w:rPr>
      </w:pPr>
      <w:r>
        <w:rPr>
          <w:rFonts w:ascii="Verdana" w:hAnsi="Verdana" w:cs="Verdana"/>
          <w:sz w:val="24"/>
          <w:szCs w:val="24"/>
        </w:rPr>
        <w:t>The rate of interest to be charged on any loan given by any Nidhi shall not exceed seven and half per cent above the highest rate of interest offered on deposits by the Nidhi and shall be calculated on reducing balance method:</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Verdana" w:hAnsi="Verdana" w:cs="Verdana"/>
          <w:sz w:val="24"/>
          <w:szCs w:val="24"/>
        </w:rPr>
        <w:t>Provided that the Nidhi shal</w:t>
      </w:r>
      <w:r>
        <w:rPr>
          <w:rFonts w:ascii="Verdana" w:hAnsi="Verdana" w:cs="Verdana"/>
          <w:sz w:val="24"/>
          <w:szCs w:val="24"/>
        </w:rPr>
        <w:t>l charge the same rate of interest on the borrowers in respect of the same class of loans and the rates of interest of all classes of loans shall be prominently displayed on the notice board at the registered office and each branch office of the Nidhi.</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560" w:header="720" w:footer="720" w:gutter="0"/>
          <w:cols w:space="720" w:equalWidth="0">
            <w:col w:w="24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4" w:name="page14"/>
      <w:bookmarkEnd w:id="14"/>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27" w:lineRule="exact"/>
        <w:rPr>
          <w:rFonts w:ascii="Times New Roman" w:hAnsi="Times New Roman" w:cs="Times New Roman"/>
          <w:sz w:val="24"/>
          <w:szCs w:val="24"/>
        </w:rPr>
      </w:pPr>
    </w:p>
    <w:p w:rsidR="00000000" w:rsidRDefault="004D7F71">
      <w:pPr>
        <w:pStyle w:val="DefaultParagraphFont"/>
        <w:widowControl w:val="0"/>
        <w:numPr>
          <w:ilvl w:val="0"/>
          <w:numId w:val="44"/>
        </w:numPr>
        <w:tabs>
          <w:tab w:val="clear" w:pos="720"/>
          <w:tab w:val="num" w:pos="1080"/>
        </w:tabs>
        <w:overflowPunct w:val="0"/>
        <w:autoSpaceDE w:val="0"/>
        <w:autoSpaceDN w:val="0"/>
        <w:adjustRightInd w:val="0"/>
        <w:spacing w:after="0" w:line="240" w:lineRule="auto"/>
        <w:ind w:left="1080" w:hanging="1080"/>
        <w:jc w:val="both"/>
        <w:rPr>
          <w:rFonts w:ascii="Verdana" w:hAnsi="Verdana" w:cs="Verdana"/>
          <w:b/>
          <w:bCs/>
          <w:sz w:val="24"/>
          <w:szCs w:val="24"/>
        </w:rPr>
      </w:pPr>
      <w:r>
        <w:rPr>
          <w:rFonts w:ascii="Verdana" w:hAnsi="Verdana" w:cs="Verdana"/>
          <w:b/>
          <w:bCs/>
          <w:sz w:val="24"/>
          <w:szCs w:val="24"/>
        </w:rPr>
        <w:t xml:space="preserve">Rules relating to Directors </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numPr>
          <w:ilvl w:val="0"/>
          <w:numId w:val="45"/>
        </w:numPr>
        <w:tabs>
          <w:tab w:val="clear" w:pos="720"/>
          <w:tab w:val="num" w:pos="540"/>
        </w:tabs>
        <w:overflowPunct w:val="0"/>
        <w:autoSpaceDE w:val="0"/>
        <w:autoSpaceDN w:val="0"/>
        <w:adjustRightInd w:val="0"/>
        <w:spacing w:after="0" w:line="240" w:lineRule="auto"/>
        <w:ind w:left="540" w:hanging="540"/>
        <w:jc w:val="both"/>
        <w:rPr>
          <w:rFonts w:ascii="Verdana" w:hAnsi="Verdana" w:cs="Verdana"/>
          <w:sz w:val="24"/>
          <w:szCs w:val="24"/>
        </w:rPr>
      </w:pPr>
      <w:r>
        <w:rPr>
          <w:rFonts w:ascii="Verdana" w:hAnsi="Verdana" w:cs="Verdana"/>
          <w:sz w:val="24"/>
          <w:szCs w:val="24"/>
        </w:rPr>
        <w:t xml:space="preserve">A director shall be a member of the Nidhi. </w:t>
      </w:r>
    </w:p>
    <w:p w:rsidR="00000000" w:rsidRDefault="004D7F71">
      <w:pPr>
        <w:pStyle w:val="DefaultParagraphFont"/>
        <w:widowControl w:val="0"/>
        <w:autoSpaceDE w:val="0"/>
        <w:autoSpaceDN w:val="0"/>
        <w:adjustRightInd w:val="0"/>
        <w:spacing w:after="0" w:line="349" w:lineRule="exact"/>
        <w:rPr>
          <w:rFonts w:ascii="Verdana" w:hAnsi="Verdana" w:cs="Verdana"/>
          <w:sz w:val="24"/>
          <w:szCs w:val="24"/>
        </w:rPr>
      </w:pPr>
    </w:p>
    <w:p w:rsidR="00000000" w:rsidRDefault="004D7F71">
      <w:pPr>
        <w:pStyle w:val="DefaultParagraphFont"/>
        <w:widowControl w:val="0"/>
        <w:numPr>
          <w:ilvl w:val="0"/>
          <w:numId w:val="45"/>
        </w:numPr>
        <w:tabs>
          <w:tab w:val="clear" w:pos="720"/>
          <w:tab w:val="num" w:pos="677"/>
        </w:tabs>
        <w:overflowPunct w:val="0"/>
        <w:autoSpaceDE w:val="0"/>
        <w:autoSpaceDN w:val="0"/>
        <w:adjustRightInd w:val="0"/>
        <w:spacing w:after="0" w:line="216" w:lineRule="auto"/>
        <w:ind w:left="0" w:firstLine="0"/>
        <w:jc w:val="both"/>
        <w:rPr>
          <w:rFonts w:ascii="Verdana" w:hAnsi="Verdana" w:cs="Verdana"/>
          <w:sz w:val="24"/>
          <w:szCs w:val="24"/>
        </w:rPr>
      </w:pPr>
      <w:r>
        <w:rPr>
          <w:rFonts w:ascii="Verdana" w:hAnsi="Verdana" w:cs="Verdana"/>
          <w:sz w:val="24"/>
          <w:szCs w:val="24"/>
        </w:rPr>
        <w:t xml:space="preserve">A director of a Nidhi may hold office for a term up to ten consecutive years on the Board of the Nidhi.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45"/>
        </w:numPr>
        <w:tabs>
          <w:tab w:val="clear" w:pos="720"/>
          <w:tab w:val="num" w:pos="590"/>
        </w:tabs>
        <w:overflowPunct w:val="0"/>
        <w:autoSpaceDE w:val="0"/>
        <w:autoSpaceDN w:val="0"/>
        <w:adjustRightInd w:val="0"/>
        <w:spacing w:after="0" w:line="224" w:lineRule="auto"/>
        <w:ind w:left="0" w:firstLine="0"/>
        <w:jc w:val="both"/>
        <w:rPr>
          <w:rFonts w:ascii="Verdana" w:hAnsi="Verdana" w:cs="Verdana"/>
          <w:sz w:val="24"/>
          <w:szCs w:val="24"/>
        </w:rPr>
      </w:pPr>
      <w:r>
        <w:rPr>
          <w:rFonts w:ascii="Verdana" w:hAnsi="Verdana" w:cs="Verdana"/>
          <w:sz w:val="24"/>
          <w:szCs w:val="24"/>
        </w:rPr>
        <w:t xml:space="preserve">The director referred to in sub rule (ii) above shall be eligible for further appointment only after the expiration of two years of ceasing to be a director.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0"/>
          <w:numId w:val="45"/>
        </w:numPr>
        <w:tabs>
          <w:tab w:val="clear" w:pos="720"/>
          <w:tab w:val="num" w:pos="511"/>
        </w:tabs>
        <w:overflowPunct w:val="0"/>
        <w:autoSpaceDE w:val="0"/>
        <w:autoSpaceDN w:val="0"/>
        <w:adjustRightInd w:val="0"/>
        <w:spacing w:after="0" w:line="223" w:lineRule="auto"/>
        <w:ind w:left="0" w:firstLine="0"/>
        <w:jc w:val="both"/>
        <w:rPr>
          <w:rFonts w:ascii="Verdana" w:hAnsi="Verdana" w:cs="Verdana"/>
          <w:sz w:val="24"/>
          <w:szCs w:val="24"/>
        </w:rPr>
      </w:pPr>
      <w:r>
        <w:rPr>
          <w:rFonts w:ascii="Verdana" w:hAnsi="Verdana" w:cs="Verdana"/>
          <w:sz w:val="24"/>
          <w:szCs w:val="24"/>
        </w:rPr>
        <w:t>Where the tenure of any director in any case had already been extended by the Centr</w:t>
      </w:r>
      <w:r>
        <w:rPr>
          <w:rFonts w:ascii="Verdana" w:hAnsi="Verdana" w:cs="Verdana"/>
          <w:sz w:val="24"/>
          <w:szCs w:val="24"/>
        </w:rPr>
        <w:t xml:space="preserve">al Government, it shall terminate on expiry of such extended tenure. </w:t>
      </w:r>
    </w:p>
    <w:p w:rsidR="00000000" w:rsidRDefault="004D7F71">
      <w:pPr>
        <w:pStyle w:val="DefaultParagraphFont"/>
        <w:widowControl w:val="0"/>
        <w:autoSpaceDE w:val="0"/>
        <w:autoSpaceDN w:val="0"/>
        <w:adjustRightInd w:val="0"/>
        <w:spacing w:after="0" w:line="294" w:lineRule="exact"/>
        <w:rPr>
          <w:rFonts w:ascii="Verdana" w:hAnsi="Verdana" w:cs="Verdana"/>
          <w:sz w:val="24"/>
          <w:szCs w:val="24"/>
        </w:rPr>
      </w:pPr>
    </w:p>
    <w:p w:rsidR="00000000" w:rsidRDefault="004D7F71">
      <w:pPr>
        <w:pStyle w:val="DefaultParagraphFont"/>
        <w:widowControl w:val="0"/>
        <w:numPr>
          <w:ilvl w:val="0"/>
          <w:numId w:val="45"/>
        </w:numPr>
        <w:tabs>
          <w:tab w:val="clear" w:pos="720"/>
          <w:tab w:val="num" w:pos="560"/>
        </w:tabs>
        <w:overflowPunct w:val="0"/>
        <w:autoSpaceDE w:val="0"/>
        <w:autoSpaceDN w:val="0"/>
        <w:adjustRightInd w:val="0"/>
        <w:spacing w:after="0" w:line="240" w:lineRule="auto"/>
        <w:ind w:left="560" w:hanging="560"/>
        <w:jc w:val="both"/>
        <w:rPr>
          <w:rFonts w:ascii="Verdana" w:hAnsi="Verdana" w:cs="Verdana"/>
          <w:sz w:val="24"/>
          <w:szCs w:val="24"/>
        </w:rPr>
      </w:pPr>
      <w:r>
        <w:rPr>
          <w:rFonts w:ascii="Verdana" w:hAnsi="Verdana" w:cs="Verdana"/>
          <w:sz w:val="24"/>
          <w:szCs w:val="24"/>
        </w:rPr>
        <w:t xml:space="preserve">The  person  to  be  appointed  as  a  director  shall  comply  with  the </w:t>
      </w:r>
    </w:p>
    <w:p w:rsidR="00000000" w:rsidRDefault="004D7F71">
      <w:pPr>
        <w:pStyle w:val="DefaultParagraphFont"/>
        <w:widowControl w:val="0"/>
        <w:autoSpaceDE w:val="0"/>
        <w:autoSpaceDN w:val="0"/>
        <w:adjustRightInd w:val="0"/>
        <w:spacing w:after="0" w:line="6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jc w:val="both"/>
        <w:rPr>
          <w:rFonts w:ascii="Times New Roman" w:hAnsi="Times New Roman" w:cs="Times New Roman"/>
          <w:sz w:val="24"/>
          <w:szCs w:val="24"/>
        </w:rPr>
      </w:pPr>
      <w:r>
        <w:rPr>
          <w:rFonts w:ascii="Verdana" w:hAnsi="Verdana" w:cs="Verdana"/>
          <w:sz w:val="24"/>
          <w:szCs w:val="24"/>
        </w:rPr>
        <w:t>requirements of sub-section (4) of section 152 of the Act and should not have been disqualified from appointment as provided in section 164 of the Act.</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6" w:lineRule="exact"/>
        <w:rPr>
          <w:rFonts w:ascii="Times New Roman" w:hAnsi="Times New Roman" w:cs="Times New Roman"/>
          <w:sz w:val="24"/>
          <w:szCs w:val="24"/>
        </w:rPr>
      </w:pPr>
    </w:p>
    <w:p w:rsidR="00000000" w:rsidRDefault="004D7F71">
      <w:pPr>
        <w:pStyle w:val="DefaultParagraphFont"/>
        <w:widowControl w:val="0"/>
        <w:numPr>
          <w:ilvl w:val="0"/>
          <w:numId w:val="46"/>
        </w:numPr>
        <w:tabs>
          <w:tab w:val="clear" w:pos="720"/>
          <w:tab w:val="num" w:pos="680"/>
        </w:tabs>
        <w:overflowPunct w:val="0"/>
        <w:autoSpaceDE w:val="0"/>
        <w:autoSpaceDN w:val="0"/>
        <w:adjustRightInd w:val="0"/>
        <w:spacing w:after="0" w:line="240" w:lineRule="auto"/>
        <w:ind w:left="680" w:hanging="680"/>
        <w:jc w:val="both"/>
        <w:rPr>
          <w:rFonts w:ascii="Verdana" w:hAnsi="Verdana" w:cs="Verdana"/>
          <w:b/>
          <w:bCs/>
          <w:sz w:val="24"/>
          <w:szCs w:val="24"/>
        </w:rPr>
      </w:pPr>
      <w:r>
        <w:rPr>
          <w:rFonts w:ascii="Verdana" w:hAnsi="Verdana" w:cs="Verdana"/>
          <w:b/>
          <w:bCs/>
          <w:sz w:val="24"/>
          <w:szCs w:val="24"/>
        </w:rPr>
        <w:t xml:space="preserve">Dividend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7" w:lineRule="auto"/>
        <w:jc w:val="both"/>
        <w:rPr>
          <w:rFonts w:ascii="Times New Roman" w:hAnsi="Times New Roman" w:cs="Times New Roman"/>
          <w:sz w:val="24"/>
          <w:szCs w:val="24"/>
        </w:rPr>
      </w:pPr>
      <w:r>
        <w:rPr>
          <w:rFonts w:ascii="Verdana" w:hAnsi="Verdana" w:cs="Verdana"/>
          <w:sz w:val="24"/>
          <w:szCs w:val="24"/>
        </w:rPr>
        <w:t>A Nidhi shall not declare dividend exceeding twenty five percent or such higher amou</w:t>
      </w:r>
      <w:r>
        <w:rPr>
          <w:rFonts w:ascii="Verdana" w:hAnsi="Verdana" w:cs="Verdana"/>
          <w:sz w:val="24"/>
          <w:szCs w:val="24"/>
        </w:rPr>
        <w:t>nt as may be specifically approved by the Regional Director for reasons to be recorded in writing and further subject to the following conditions:</w:t>
      </w:r>
    </w:p>
    <w:p w:rsidR="00000000" w:rsidRDefault="004D7F71">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4D7F71">
      <w:pPr>
        <w:pStyle w:val="DefaultParagraphFont"/>
        <w:widowControl w:val="0"/>
        <w:numPr>
          <w:ilvl w:val="1"/>
          <w:numId w:val="47"/>
        </w:numPr>
        <w:tabs>
          <w:tab w:val="clear" w:pos="1440"/>
          <w:tab w:val="num" w:pos="1160"/>
        </w:tabs>
        <w:overflowPunct w:val="0"/>
        <w:autoSpaceDE w:val="0"/>
        <w:autoSpaceDN w:val="0"/>
        <w:adjustRightInd w:val="0"/>
        <w:spacing w:after="0" w:line="240" w:lineRule="auto"/>
        <w:ind w:left="1160" w:hanging="581"/>
        <w:jc w:val="both"/>
        <w:rPr>
          <w:rFonts w:ascii="Verdana" w:hAnsi="Verdana" w:cs="Verdana"/>
          <w:sz w:val="24"/>
          <w:szCs w:val="24"/>
        </w:rPr>
      </w:pPr>
      <w:r>
        <w:rPr>
          <w:rFonts w:ascii="Verdana" w:hAnsi="Verdana" w:cs="Verdana"/>
          <w:sz w:val="24"/>
          <w:szCs w:val="24"/>
        </w:rPr>
        <w:t xml:space="preserve">an equal amount is transferred to General Reserve. </w:t>
      </w:r>
    </w:p>
    <w:p w:rsidR="00000000" w:rsidRDefault="004D7F71">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D7F71">
      <w:pPr>
        <w:pStyle w:val="DefaultParagraphFont"/>
        <w:widowControl w:val="0"/>
        <w:numPr>
          <w:ilvl w:val="1"/>
          <w:numId w:val="47"/>
        </w:numPr>
        <w:tabs>
          <w:tab w:val="clear" w:pos="1440"/>
          <w:tab w:val="num" w:pos="1077"/>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 xml:space="preserve">there has been no default in repayment of matured deposits and interest. </w:t>
      </w:r>
    </w:p>
    <w:p w:rsidR="00000000" w:rsidRDefault="004D7F71">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D7F71">
      <w:pPr>
        <w:pStyle w:val="DefaultParagraphFont"/>
        <w:widowControl w:val="0"/>
        <w:numPr>
          <w:ilvl w:val="1"/>
          <w:numId w:val="47"/>
        </w:numPr>
        <w:tabs>
          <w:tab w:val="clear" w:pos="1440"/>
          <w:tab w:val="num" w:pos="1160"/>
        </w:tabs>
        <w:overflowPunct w:val="0"/>
        <w:autoSpaceDE w:val="0"/>
        <w:autoSpaceDN w:val="0"/>
        <w:adjustRightInd w:val="0"/>
        <w:spacing w:after="0" w:line="240" w:lineRule="auto"/>
        <w:ind w:left="1160" w:hanging="581"/>
        <w:jc w:val="both"/>
        <w:rPr>
          <w:rFonts w:ascii="Verdana" w:hAnsi="Verdana" w:cs="Verdana"/>
          <w:sz w:val="24"/>
          <w:szCs w:val="24"/>
        </w:rPr>
      </w:pPr>
      <w:r>
        <w:rPr>
          <w:rFonts w:ascii="Verdana" w:hAnsi="Verdana" w:cs="Verdana"/>
          <w:sz w:val="24"/>
          <w:szCs w:val="24"/>
        </w:rPr>
        <w:t xml:space="preserve">it has complied with all the rules as applicable to Nidhis.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384" w:lineRule="exact"/>
        <w:rPr>
          <w:rFonts w:ascii="Verdana" w:hAnsi="Verdana" w:cs="Verdana"/>
          <w:sz w:val="24"/>
          <w:szCs w:val="24"/>
        </w:rPr>
      </w:pPr>
    </w:p>
    <w:p w:rsidR="00000000" w:rsidRDefault="004D7F71">
      <w:pPr>
        <w:pStyle w:val="DefaultParagraphFont"/>
        <w:widowControl w:val="0"/>
        <w:numPr>
          <w:ilvl w:val="0"/>
          <w:numId w:val="48"/>
        </w:numPr>
        <w:tabs>
          <w:tab w:val="clear" w:pos="720"/>
          <w:tab w:val="num" w:pos="1000"/>
        </w:tabs>
        <w:overflowPunct w:val="0"/>
        <w:autoSpaceDE w:val="0"/>
        <w:autoSpaceDN w:val="0"/>
        <w:adjustRightInd w:val="0"/>
        <w:spacing w:after="0" w:line="240" w:lineRule="auto"/>
        <w:ind w:left="1000" w:hanging="1000"/>
        <w:jc w:val="both"/>
        <w:rPr>
          <w:rFonts w:ascii="Verdana" w:hAnsi="Verdana" w:cs="Verdana"/>
          <w:b/>
          <w:bCs/>
          <w:sz w:val="24"/>
          <w:szCs w:val="24"/>
        </w:rPr>
      </w:pPr>
      <w:r>
        <w:rPr>
          <w:rFonts w:ascii="Verdana" w:hAnsi="Verdana" w:cs="Verdana"/>
          <w:b/>
          <w:bCs/>
          <w:sz w:val="24"/>
          <w:szCs w:val="24"/>
        </w:rPr>
        <w:t xml:space="preserve">Auditor: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9120"/>
        <w:rPr>
          <w:rFonts w:ascii="Times New Roman" w:hAnsi="Times New Roman" w:cs="Times New Roman"/>
          <w:sz w:val="24"/>
          <w:szCs w:val="24"/>
        </w:rPr>
      </w:pPr>
      <w:r>
        <w:rPr>
          <w:rFonts w:ascii="Times New Roman" w:hAnsi="Times New Roman" w:cs="Times New Roman"/>
          <w:sz w:val="24"/>
          <w:szCs w:val="24"/>
        </w:rPr>
        <w:t>14</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5" w:name="page15"/>
      <w:bookmarkEnd w:id="15"/>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numPr>
          <w:ilvl w:val="0"/>
          <w:numId w:val="49"/>
        </w:numPr>
        <w:tabs>
          <w:tab w:val="clear" w:pos="720"/>
          <w:tab w:val="num" w:pos="422"/>
        </w:tabs>
        <w:overflowPunct w:val="0"/>
        <w:autoSpaceDE w:val="0"/>
        <w:autoSpaceDN w:val="0"/>
        <w:adjustRightInd w:val="0"/>
        <w:spacing w:after="0" w:line="215" w:lineRule="auto"/>
        <w:ind w:left="0" w:right="120" w:firstLine="0"/>
        <w:jc w:val="both"/>
        <w:rPr>
          <w:rFonts w:ascii="Verdana" w:hAnsi="Verdana" w:cs="Verdana"/>
          <w:sz w:val="24"/>
          <w:szCs w:val="24"/>
        </w:rPr>
      </w:pPr>
      <w:r>
        <w:rPr>
          <w:rFonts w:ascii="Verdana" w:hAnsi="Verdana" w:cs="Verdana"/>
          <w:sz w:val="24"/>
          <w:szCs w:val="24"/>
        </w:rPr>
        <w:t xml:space="preserve">No person or firm appointed as Auditor of the Nidhi for a continuous period of five years shall be re-appointed as auditor. </w:t>
      </w:r>
    </w:p>
    <w:p w:rsidR="00000000" w:rsidRDefault="004D7F71">
      <w:pPr>
        <w:pStyle w:val="DefaultParagraphFont"/>
        <w:widowControl w:val="0"/>
        <w:autoSpaceDE w:val="0"/>
        <w:autoSpaceDN w:val="0"/>
        <w:adjustRightInd w:val="0"/>
        <w:spacing w:after="0" w:line="353" w:lineRule="exact"/>
        <w:rPr>
          <w:rFonts w:ascii="Verdana" w:hAnsi="Verdana" w:cs="Verdana"/>
          <w:sz w:val="24"/>
          <w:szCs w:val="24"/>
        </w:rPr>
      </w:pPr>
    </w:p>
    <w:p w:rsidR="00000000" w:rsidRDefault="004D7F71">
      <w:pPr>
        <w:pStyle w:val="DefaultParagraphFont"/>
        <w:widowControl w:val="0"/>
        <w:numPr>
          <w:ilvl w:val="0"/>
          <w:numId w:val="49"/>
        </w:numPr>
        <w:tabs>
          <w:tab w:val="clear" w:pos="720"/>
          <w:tab w:val="num" w:pos="446"/>
        </w:tabs>
        <w:overflowPunct w:val="0"/>
        <w:autoSpaceDE w:val="0"/>
        <w:autoSpaceDN w:val="0"/>
        <w:adjustRightInd w:val="0"/>
        <w:spacing w:after="0" w:line="223" w:lineRule="auto"/>
        <w:ind w:left="0" w:right="120" w:firstLine="0"/>
        <w:jc w:val="both"/>
        <w:rPr>
          <w:rFonts w:ascii="Verdana" w:hAnsi="Verdana" w:cs="Verdana"/>
          <w:sz w:val="24"/>
          <w:szCs w:val="24"/>
        </w:rPr>
      </w:pPr>
      <w:r>
        <w:rPr>
          <w:rFonts w:ascii="Verdana" w:hAnsi="Verdana" w:cs="Verdana"/>
          <w:sz w:val="24"/>
          <w:szCs w:val="24"/>
        </w:rPr>
        <w:t>For the purposes of the aforesaid sub-rule, no partner of the firm or any associate of the same firm either in that capacity</w:t>
      </w:r>
      <w:r>
        <w:rPr>
          <w:rFonts w:ascii="Verdana" w:hAnsi="Verdana" w:cs="Verdana"/>
          <w:sz w:val="24"/>
          <w:szCs w:val="24"/>
        </w:rPr>
        <w:t xml:space="preserve"> or in any other individual capacity shall be eligible for reappointment.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F71">
      <w:pPr>
        <w:pStyle w:val="DefaultParagraphFont"/>
        <w:widowControl w:val="0"/>
        <w:numPr>
          <w:ilvl w:val="0"/>
          <w:numId w:val="50"/>
        </w:numPr>
        <w:tabs>
          <w:tab w:val="clear" w:pos="720"/>
          <w:tab w:val="num" w:pos="920"/>
        </w:tabs>
        <w:overflowPunct w:val="0"/>
        <w:autoSpaceDE w:val="0"/>
        <w:autoSpaceDN w:val="0"/>
        <w:adjustRightInd w:val="0"/>
        <w:spacing w:after="0" w:line="240" w:lineRule="auto"/>
        <w:ind w:left="920" w:hanging="920"/>
        <w:jc w:val="both"/>
        <w:rPr>
          <w:rFonts w:ascii="Verdana" w:hAnsi="Verdana" w:cs="Verdana"/>
          <w:b/>
          <w:bCs/>
          <w:sz w:val="24"/>
          <w:szCs w:val="24"/>
        </w:rPr>
      </w:pPr>
      <w:r>
        <w:rPr>
          <w:rFonts w:ascii="Verdana" w:hAnsi="Verdana" w:cs="Verdana"/>
          <w:b/>
          <w:bCs/>
          <w:sz w:val="24"/>
          <w:szCs w:val="24"/>
        </w:rPr>
        <w:t xml:space="preserve">Prudential norms: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4" w:lineRule="auto"/>
        <w:ind w:right="120"/>
        <w:jc w:val="both"/>
        <w:rPr>
          <w:rFonts w:ascii="Times New Roman" w:hAnsi="Times New Roman" w:cs="Times New Roman"/>
          <w:sz w:val="24"/>
          <w:szCs w:val="24"/>
        </w:rPr>
      </w:pPr>
      <w:r>
        <w:rPr>
          <w:rFonts w:ascii="Verdana" w:hAnsi="Verdana" w:cs="Verdana"/>
          <w:sz w:val="24"/>
          <w:szCs w:val="24"/>
        </w:rPr>
        <w:t>(1). Every Nidhi shall adhere to the pr</w:t>
      </w:r>
      <w:r>
        <w:rPr>
          <w:rFonts w:ascii="Verdana" w:hAnsi="Verdana" w:cs="Verdana"/>
          <w:sz w:val="24"/>
          <w:szCs w:val="24"/>
        </w:rPr>
        <w:t>udential norms for revenue recognition and classification of assets in respect of mortgage loans or jewel loans as contained hereunder.</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ind w:right="120"/>
        <w:jc w:val="both"/>
        <w:rPr>
          <w:rFonts w:ascii="Times New Roman" w:hAnsi="Times New Roman" w:cs="Times New Roman"/>
          <w:sz w:val="24"/>
          <w:szCs w:val="24"/>
        </w:rPr>
      </w:pPr>
      <w:r>
        <w:rPr>
          <w:rFonts w:ascii="Verdana" w:hAnsi="Verdana" w:cs="Verdana"/>
          <w:sz w:val="24"/>
          <w:szCs w:val="24"/>
        </w:rPr>
        <w:t>(2). Income including interest or any other charges on non-performing assets shall be recognised only when it is actual</w:t>
      </w:r>
      <w:r>
        <w:rPr>
          <w:rFonts w:ascii="Verdana" w:hAnsi="Verdana" w:cs="Verdana"/>
          <w:sz w:val="24"/>
          <w:szCs w:val="24"/>
        </w:rPr>
        <w:t>ly realised. Any such income recognised before the asset became non-performing and which remains unrealised in a year shall be reversed in the profit and loss account of the immediately succeeding year.</w:t>
      </w:r>
    </w:p>
    <w:p w:rsidR="00000000" w:rsidRDefault="004D7F71">
      <w:pPr>
        <w:pStyle w:val="DefaultParagraphFont"/>
        <w:widowControl w:val="0"/>
        <w:autoSpaceDE w:val="0"/>
        <w:autoSpaceDN w:val="0"/>
        <w:adjustRightInd w:val="0"/>
        <w:spacing w:after="0" w:line="354"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ind w:right="120"/>
        <w:jc w:val="both"/>
        <w:rPr>
          <w:rFonts w:ascii="Times New Roman" w:hAnsi="Times New Roman" w:cs="Times New Roman"/>
          <w:sz w:val="24"/>
          <w:szCs w:val="24"/>
        </w:rPr>
      </w:pPr>
      <w:r>
        <w:rPr>
          <w:rFonts w:ascii="Verdana" w:hAnsi="Verdana" w:cs="Verdana"/>
          <w:sz w:val="24"/>
          <w:szCs w:val="24"/>
        </w:rPr>
        <w:t>(3). (a) In respect of Mortgage Loans, the classific</w:t>
      </w:r>
      <w:r>
        <w:rPr>
          <w:rFonts w:ascii="Verdana" w:hAnsi="Verdana" w:cs="Verdana"/>
          <w:sz w:val="24"/>
          <w:szCs w:val="24"/>
        </w:rPr>
        <w:t>ation of assets and the provisioning required shall be as under:</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69" w:lineRule="exact"/>
        <w:rPr>
          <w:rFonts w:ascii="Times New Roman" w:hAnsi="Times New Roman" w:cs="Times New Roman"/>
          <w:sz w:val="24"/>
          <w:szCs w:val="24"/>
        </w:rPr>
      </w:pPr>
    </w:p>
    <w:tbl>
      <w:tblPr>
        <w:tblW w:w="0" w:type="auto"/>
        <w:tblInd w:w="610" w:type="dxa"/>
        <w:tblLayout w:type="fixed"/>
        <w:tblCellMar>
          <w:left w:w="0" w:type="dxa"/>
          <w:right w:w="0" w:type="dxa"/>
        </w:tblCellMar>
        <w:tblLook w:val="0000" w:firstRow="0" w:lastRow="0" w:firstColumn="0" w:lastColumn="0" w:noHBand="0" w:noVBand="0"/>
      </w:tblPr>
      <w:tblGrid>
        <w:gridCol w:w="4460"/>
        <w:gridCol w:w="1640"/>
        <w:gridCol w:w="680"/>
        <w:gridCol w:w="600"/>
        <w:gridCol w:w="1500"/>
      </w:tblGrid>
      <w:tr w:rsidR="00000000">
        <w:tblPrEx>
          <w:tblCellMar>
            <w:top w:w="0" w:type="dxa"/>
            <w:left w:w="0" w:type="dxa"/>
            <w:bottom w:w="0" w:type="dxa"/>
            <w:right w:w="0" w:type="dxa"/>
          </w:tblCellMar>
        </w:tblPrEx>
        <w:trPr>
          <w:trHeight w:val="300"/>
        </w:trPr>
        <w:tc>
          <w:tcPr>
            <w:tcW w:w="4460" w:type="dxa"/>
            <w:tcBorders>
              <w:top w:val="single" w:sz="8" w:space="0" w:color="auto"/>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840"/>
              <w:rPr>
                <w:rFonts w:ascii="Times New Roman" w:hAnsi="Times New Roman" w:cs="Times New Roman"/>
                <w:sz w:val="24"/>
                <w:szCs w:val="24"/>
              </w:rPr>
            </w:pPr>
            <w:r>
              <w:rPr>
                <w:rFonts w:ascii="Verdana" w:hAnsi="Verdana" w:cs="Verdana"/>
                <w:sz w:val="24"/>
                <w:szCs w:val="24"/>
              </w:rPr>
              <w:t>NATURE OF ASSET</w:t>
            </w:r>
          </w:p>
        </w:tc>
        <w:tc>
          <w:tcPr>
            <w:tcW w:w="4420" w:type="dxa"/>
            <w:gridSpan w:val="4"/>
            <w:tcBorders>
              <w:top w:val="single" w:sz="8" w:space="0" w:color="auto"/>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800"/>
              <w:rPr>
                <w:rFonts w:ascii="Times New Roman" w:hAnsi="Times New Roman" w:cs="Times New Roman"/>
                <w:sz w:val="24"/>
                <w:szCs w:val="24"/>
              </w:rPr>
            </w:pPr>
            <w:r>
              <w:rPr>
                <w:rFonts w:ascii="Verdana" w:hAnsi="Verdana" w:cs="Verdana"/>
                <w:sz w:val="24"/>
                <w:szCs w:val="24"/>
              </w:rPr>
              <w:t>PROVISION REQUIRED</w:t>
            </w:r>
          </w:p>
        </w:tc>
      </w:tr>
      <w:tr w:rsidR="00000000">
        <w:tblPrEx>
          <w:tblCellMar>
            <w:top w:w="0" w:type="dxa"/>
            <w:left w:w="0" w:type="dxa"/>
            <w:bottom w:w="0" w:type="dxa"/>
            <w:right w:w="0" w:type="dxa"/>
          </w:tblCellMar>
        </w:tblPrEx>
        <w:trPr>
          <w:trHeight w:val="281"/>
        </w:trPr>
        <w:tc>
          <w:tcPr>
            <w:tcW w:w="44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840"/>
              <w:rPr>
                <w:rFonts w:ascii="Times New Roman" w:hAnsi="Times New Roman" w:cs="Times New Roman"/>
                <w:sz w:val="24"/>
                <w:szCs w:val="24"/>
              </w:rPr>
            </w:pPr>
            <w:r>
              <w:rPr>
                <w:rFonts w:ascii="Verdana" w:hAnsi="Verdana" w:cs="Verdana"/>
                <w:sz w:val="24"/>
                <w:szCs w:val="24"/>
              </w:rPr>
              <w:t>Standard Asset</w:t>
            </w:r>
          </w:p>
        </w:tc>
        <w:tc>
          <w:tcPr>
            <w:tcW w:w="2320" w:type="dxa"/>
            <w:gridSpan w:val="2"/>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80" w:lineRule="exact"/>
              <w:ind w:left="800"/>
              <w:rPr>
                <w:rFonts w:ascii="Times New Roman" w:hAnsi="Times New Roman" w:cs="Times New Roman"/>
                <w:sz w:val="24"/>
                <w:szCs w:val="24"/>
              </w:rPr>
            </w:pPr>
            <w:r>
              <w:rPr>
                <w:rFonts w:ascii="Verdana" w:hAnsi="Verdana" w:cs="Verdana"/>
                <w:w w:val="99"/>
                <w:sz w:val="24"/>
                <w:szCs w:val="24"/>
              </w:rPr>
              <w:t>No provision</w:t>
            </w:r>
          </w:p>
        </w:tc>
        <w:tc>
          <w:tcPr>
            <w:tcW w:w="60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50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81"/>
        </w:trPr>
        <w:tc>
          <w:tcPr>
            <w:tcW w:w="4460" w:type="dxa"/>
            <w:tcBorders>
              <w:top w:val="nil"/>
              <w:left w:val="single" w:sz="8" w:space="0" w:color="auto"/>
              <w:bottom w:val="nil"/>
              <w:right w:val="single" w:sz="8" w:space="0" w:color="auto"/>
            </w:tcBorders>
            <w:vAlign w:val="bottom"/>
          </w:tcPr>
          <w:p w:rsidR="00000000" w:rsidRDefault="004D7F71">
            <w:pPr>
              <w:pStyle w:val="DefaultParagraphFont"/>
              <w:widowControl w:val="0"/>
              <w:autoSpaceDE w:val="0"/>
              <w:autoSpaceDN w:val="0"/>
              <w:adjustRightInd w:val="0"/>
              <w:spacing w:after="0" w:line="281" w:lineRule="exact"/>
              <w:ind w:left="840"/>
              <w:rPr>
                <w:rFonts w:ascii="Times New Roman" w:hAnsi="Times New Roman" w:cs="Times New Roman"/>
                <w:sz w:val="24"/>
                <w:szCs w:val="24"/>
              </w:rPr>
            </w:pPr>
            <w:r>
              <w:rPr>
                <w:rFonts w:ascii="Verdana" w:hAnsi="Verdana" w:cs="Verdana"/>
                <w:sz w:val="24"/>
                <w:szCs w:val="24"/>
              </w:rPr>
              <w:t>Sub-standard Asset</w:t>
            </w:r>
          </w:p>
        </w:tc>
        <w:tc>
          <w:tcPr>
            <w:tcW w:w="16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1" w:lineRule="exact"/>
              <w:ind w:left="800"/>
              <w:rPr>
                <w:rFonts w:ascii="Times New Roman" w:hAnsi="Times New Roman" w:cs="Times New Roman"/>
                <w:sz w:val="24"/>
                <w:szCs w:val="24"/>
              </w:rPr>
            </w:pPr>
            <w:r>
              <w:rPr>
                <w:rFonts w:ascii="Verdana" w:hAnsi="Verdana" w:cs="Verdana"/>
                <w:sz w:val="24"/>
                <w:szCs w:val="24"/>
              </w:rPr>
              <w:t>10%</w:t>
            </w:r>
          </w:p>
        </w:tc>
        <w:tc>
          <w:tcPr>
            <w:tcW w:w="6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1" w:lineRule="exact"/>
              <w:ind w:left="100"/>
              <w:rPr>
                <w:rFonts w:ascii="Times New Roman" w:hAnsi="Times New Roman" w:cs="Times New Roman"/>
                <w:sz w:val="24"/>
                <w:szCs w:val="24"/>
              </w:rPr>
            </w:pPr>
            <w:r>
              <w:rPr>
                <w:rFonts w:ascii="Verdana" w:hAnsi="Verdana" w:cs="Verdana"/>
                <w:sz w:val="24"/>
                <w:szCs w:val="24"/>
              </w:rPr>
              <w:t>of</w:t>
            </w:r>
          </w:p>
        </w:tc>
        <w:tc>
          <w:tcPr>
            <w:tcW w:w="6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1" w:lineRule="exact"/>
              <w:rPr>
                <w:rFonts w:ascii="Times New Roman" w:hAnsi="Times New Roman" w:cs="Times New Roman"/>
                <w:sz w:val="24"/>
                <w:szCs w:val="24"/>
              </w:rPr>
            </w:pPr>
            <w:r>
              <w:rPr>
                <w:rFonts w:ascii="Verdana" w:hAnsi="Verdana" w:cs="Verdana"/>
                <w:sz w:val="24"/>
                <w:szCs w:val="24"/>
              </w:rPr>
              <w:t>the</w:t>
            </w:r>
          </w:p>
        </w:tc>
        <w:tc>
          <w:tcPr>
            <w:tcW w:w="150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81" w:lineRule="exact"/>
              <w:ind w:left="160"/>
              <w:rPr>
                <w:rFonts w:ascii="Times New Roman" w:hAnsi="Times New Roman" w:cs="Times New Roman"/>
                <w:sz w:val="24"/>
                <w:szCs w:val="24"/>
              </w:rPr>
            </w:pPr>
            <w:r>
              <w:rPr>
                <w:rFonts w:ascii="Verdana" w:hAnsi="Verdana" w:cs="Verdana"/>
                <w:sz w:val="24"/>
                <w:szCs w:val="24"/>
              </w:rPr>
              <w:t>aggregate</w:t>
            </w:r>
          </w:p>
        </w:tc>
      </w:tr>
      <w:tr w:rsidR="00000000">
        <w:tblPrEx>
          <w:tblCellMar>
            <w:top w:w="0" w:type="dxa"/>
            <w:left w:w="0" w:type="dxa"/>
            <w:bottom w:w="0" w:type="dxa"/>
            <w:right w:w="0" w:type="dxa"/>
          </w:tblCellMar>
        </w:tblPrEx>
        <w:trPr>
          <w:trHeight w:val="293"/>
        </w:trPr>
        <w:tc>
          <w:tcPr>
            <w:tcW w:w="44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420" w:type="dxa"/>
            <w:gridSpan w:val="4"/>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9" w:lineRule="exact"/>
              <w:ind w:left="800"/>
              <w:rPr>
                <w:rFonts w:ascii="Times New Roman" w:hAnsi="Times New Roman" w:cs="Times New Roman"/>
                <w:sz w:val="24"/>
                <w:szCs w:val="24"/>
              </w:rPr>
            </w:pPr>
            <w:r>
              <w:rPr>
                <w:rFonts w:ascii="Verdana" w:hAnsi="Verdana" w:cs="Verdana"/>
                <w:sz w:val="24"/>
                <w:szCs w:val="24"/>
              </w:rPr>
              <w:t>outstanding amount</w:t>
            </w:r>
          </w:p>
        </w:tc>
      </w:tr>
      <w:tr w:rsidR="00000000">
        <w:tblPrEx>
          <w:tblCellMar>
            <w:top w:w="0" w:type="dxa"/>
            <w:left w:w="0" w:type="dxa"/>
            <w:bottom w:w="0" w:type="dxa"/>
            <w:right w:w="0" w:type="dxa"/>
          </w:tblCellMar>
        </w:tblPrEx>
        <w:trPr>
          <w:trHeight w:val="280"/>
        </w:trPr>
        <w:tc>
          <w:tcPr>
            <w:tcW w:w="4460" w:type="dxa"/>
            <w:tcBorders>
              <w:top w:val="nil"/>
              <w:left w:val="single" w:sz="8" w:space="0" w:color="auto"/>
              <w:bottom w:val="nil"/>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840"/>
              <w:rPr>
                <w:rFonts w:ascii="Times New Roman" w:hAnsi="Times New Roman" w:cs="Times New Roman"/>
                <w:sz w:val="24"/>
                <w:szCs w:val="24"/>
              </w:rPr>
            </w:pPr>
            <w:r>
              <w:rPr>
                <w:rFonts w:ascii="Verdana" w:hAnsi="Verdana" w:cs="Verdana"/>
                <w:sz w:val="24"/>
                <w:szCs w:val="24"/>
              </w:rPr>
              <w:t>Doubtful Asset</w:t>
            </w:r>
          </w:p>
        </w:tc>
        <w:tc>
          <w:tcPr>
            <w:tcW w:w="16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800"/>
              <w:rPr>
                <w:rFonts w:ascii="Times New Roman" w:hAnsi="Times New Roman" w:cs="Times New Roman"/>
                <w:sz w:val="24"/>
                <w:szCs w:val="24"/>
              </w:rPr>
            </w:pPr>
            <w:r>
              <w:rPr>
                <w:rFonts w:ascii="Verdana" w:hAnsi="Verdana" w:cs="Verdana"/>
                <w:sz w:val="24"/>
                <w:szCs w:val="24"/>
              </w:rPr>
              <w:t>25%</w:t>
            </w:r>
          </w:p>
        </w:tc>
        <w:tc>
          <w:tcPr>
            <w:tcW w:w="6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100"/>
              <w:rPr>
                <w:rFonts w:ascii="Times New Roman" w:hAnsi="Times New Roman" w:cs="Times New Roman"/>
                <w:sz w:val="24"/>
                <w:szCs w:val="24"/>
              </w:rPr>
            </w:pPr>
            <w:r>
              <w:rPr>
                <w:rFonts w:ascii="Verdana" w:hAnsi="Verdana" w:cs="Verdana"/>
                <w:sz w:val="24"/>
                <w:szCs w:val="24"/>
              </w:rPr>
              <w:t>of</w:t>
            </w:r>
          </w:p>
        </w:tc>
        <w:tc>
          <w:tcPr>
            <w:tcW w:w="6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rPr>
                <w:rFonts w:ascii="Times New Roman" w:hAnsi="Times New Roman" w:cs="Times New Roman"/>
                <w:sz w:val="24"/>
                <w:szCs w:val="24"/>
              </w:rPr>
            </w:pPr>
            <w:r>
              <w:rPr>
                <w:rFonts w:ascii="Verdana" w:hAnsi="Verdana" w:cs="Verdana"/>
                <w:sz w:val="24"/>
                <w:szCs w:val="24"/>
              </w:rPr>
              <w:t>the</w:t>
            </w:r>
          </w:p>
        </w:tc>
        <w:tc>
          <w:tcPr>
            <w:tcW w:w="150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160"/>
              <w:rPr>
                <w:rFonts w:ascii="Times New Roman" w:hAnsi="Times New Roman" w:cs="Times New Roman"/>
                <w:sz w:val="24"/>
                <w:szCs w:val="24"/>
              </w:rPr>
            </w:pPr>
            <w:r>
              <w:rPr>
                <w:rFonts w:ascii="Verdana" w:hAnsi="Verdana" w:cs="Verdana"/>
                <w:sz w:val="24"/>
                <w:szCs w:val="24"/>
              </w:rPr>
              <w:t>aggregate</w:t>
            </w:r>
          </w:p>
        </w:tc>
      </w:tr>
      <w:tr w:rsidR="00000000">
        <w:tblPrEx>
          <w:tblCellMar>
            <w:top w:w="0" w:type="dxa"/>
            <w:left w:w="0" w:type="dxa"/>
            <w:bottom w:w="0" w:type="dxa"/>
            <w:right w:w="0" w:type="dxa"/>
          </w:tblCellMar>
        </w:tblPrEx>
        <w:trPr>
          <w:trHeight w:val="293"/>
        </w:trPr>
        <w:tc>
          <w:tcPr>
            <w:tcW w:w="44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420" w:type="dxa"/>
            <w:gridSpan w:val="4"/>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89" w:lineRule="exact"/>
              <w:ind w:left="800"/>
              <w:rPr>
                <w:rFonts w:ascii="Times New Roman" w:hAnsi="Times New Roman" w:cs="Times New Roman"/>
                <w:sz w:val="24"/>
                <w:szCs w:val="24"/>
              </w:rPr>
            </w:pPr>
            <w:r>
              <w:rPr>
                <w:rFonts w:ascii="Verdana" w:hAnsi="Verdana" w:cs="Verdana"/>
                <w:sz w:val="24"/>
                <w:szCs w:val="24"/>
              </w:rPr>
              <w:t>outstanding amount</w:t>
            </w:r>
          </w:p>
        </w:tc>
      </w:tr>
      <w:tr w:rsidR="00000000">
        <w:tblPrEx>
          <w:tblCellMar>
            <w:top w:w="0" w:type="dxa"/>
            <w:left w:w="0" w:type="dxa"/>
            <w:bottom w:w="0" w:type="dxa"/>
            <w:right w:w="0" w:type="dxa"/>
          </w:tblCellMar>
        </w:tblPrEx>
        <w:trPr>
          <w:trHeight w:val="280"/>
        </w:trPr>
        <w:tc>
          <w:tcPr>
            <w:tcW w:w="4460" w:type="dxa"/>
            <w:tcBorders>
              <w:top w:val="nil"/>
              <w:left w:val="single" w:sz="8" w:space="0" w:color="auto"/>
              <w:bottom w:val="nil"/>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840"/>
              <w:rPr>
                <w:rFonts w:ascii="Times New Roman" w:hAnsi="Times New Roman" w:cs="Times New Roman"/>
                <w:sz w:val="24"/>
                <w:szCs w:val="24"/>
              </w:rPr>
            </w:pPr>
            <w:r>
              <w:rPr>
                <w:rFonts w:ascii="Verdana" w:hAnsi="Verdana" w:cs="Verdana"/>
                <w:sz w:val="24"/>
                <w:szCs w:val="24"/>
              </w:rPr>
              <w:t>Loss Asset</w:t>
            </w:r>
          </w:p>
        </w:tc>
        <w:tc>
          <w:tcPr>
            <w:tcW w:w="16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800"/>
              <w:rPr>
                <w:rFonts w:ascii="Times New Roman" w:hAnsi="Times New Roman" w:cs="Times New Roman"/>
                <w:sz w:val="24"/>
                <w:szCs w:val="24"/>
              </w:rPr>
            </w:pPr>
            <w:r>
              <w:rPr>
                <w:rFonts w:ascii="Verdana" w:hAnsi="Verdana" w:cs="Verdana"/>
                <w:sz w:val="24"/>
                <w:szCs w:val="24"/>
              </w:rPr>
              <w:t>100%</w:t>
            </w:r>
          </w:p>
        </w:tc>
        <w:tc>
          <w:tcPr>
            <w:tcW w:w="6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200"/>
              <w:rPr>
                <w:rFonts w:ascii="Times New Roman" w:hAnsi="Times New Roman" w:cs="Times New Roman"/>
                <w:sz w:val="24"/>
                <w:szCs w:val="24"/>
              </w:rPr>
            </w:pPr>
            <w:r>
              <w:rPr>
                <w:rFonts w:ascii="Verdana" w:hAnsi="Verdana" w:cs="Verdana"/>
                <w:sz w:val="24"/>
                <w:szCs w:val="24"/>
              </w:rPr>
              <w:t>of</w:t>
            </w:r>
          </w:p>
        </w:tc>
        <w:tc>
          <w:tcPr>
            <w:tcW w:w="60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60"/>
              <w:rPr>
                <w:rFonts w:ascii="Times New Roman" w:hAnsi="Times New Roman" w:cs="Times New Roman"/>
                <w:sz w:val="24"/>
                <w:szCs w:val="24"/>
              </w:rPr>
            </w:pPr>
            <w:r>
              <w:rPr>
                <w:rFonts w:ascii="Verdana" w:hAnsi="Verdana" w:cs="Verdana"/>
                <w:sz w:val="24"/>
                <w:szCs w:val="24"/>
              </w:rPr>
              <w:t>the</w:t>
            </w:r>
          </w:p>
        </w:tc>
        <w:tc>
          <w:tcPr>
            <w:tcW w:w="150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160"/>
              <w:rPr>
                <w:rFonts w:ascii="Times New Roman" w:hAnsi="Times New Roman" w:cs="Times New Roman"/>
                <w:sz w:val="24"/>
                <w:szCs w:val="24"/>
              </w:rPr>
            </w:pPr>
            <w:r>
              <w:rPr>
                <w:rFonts w:ascii="Verdana" w:hAnsi="Verdana" w:cs="Verdana"/>
                <w:sz w:val="24"/>
                <w:szCs w:val="24"/>
              </w:rPr>
              <w:t>aggregate</w:t>
            </w:r>
          </w:p>
        </w:tc>
      </w:tr>
      <w:tr w:rsidR="00000000">
        <w:tblPrEx>
          <w:tblCellMar>
            <w:top w:w="0" w:type="dxa"/>
            <w:left w:w="0" w:type="dxa"/>
            <w:bottom w:w="0" w:type="dxa"/>
            <w:right w:w="0" w:type="dxa"/>
          </w:tblCellMar>
        </w:tblPrEx>
        <w:trPr>
          <w:trHeight w:val="294"/>
        </w:trPr>
        <w:tc>
          <w:tcPr>
            <w:tcW w:w="4460" w:type="dxa"/>
            <w:tcBorders>
              <w:top w:val="nil"/>
              <w:left w:val="single" w:sz="8" w:space="0" w:color="auto"/>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420" w:type="dxa"/>
            <w:gridSpan w:val="4"/>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800"/>
              <w:rPr>
                <w:rFonts w:ascii="Times New Roman" w:hAnsi="Times New Roman" w:cs="Times New Roman"/>
                <w:sz w:val="24"/>
                <w:szCs w:val="24"/>
              </w:rPr>
            </w:pPr>
            <w:r>
              <w:rPr>
                <w:rFonts w:ascii="Verdana" w:hAnsi="Verdana" w:cs="Verdana"/>
                <w:sz w:val="24"/>
                <w:szCs w:val="24"/>
              </w:rPr>
              <w:t>outstanding amount</w:t>
            </w:r>
          </w:p>
        </w:tc>
      </w:tr>
    </w:tbl>
    <w:p w:rsidR="00000000" w:rsidRDefault="004D7F71">
      <w:pPr>
        <w:pStyle w:val="DefaultParagraphFont"/>
        <w:widowControl w:val="0"/>
        <w:autoSpaceDE w:val="0"/>
        <w:autoSpaceDN w:val="0"/>
        <w:adjustRightInd w:val="0"/>
        <w:spacing w:after="0" w:line="348"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ind w:right="120"/>
        <w:jc w:val="both"/>
        <w:rPr>
          <w:rFonts w:ascii="Times New Roman" w:hAnsi="Times New Roman" w:cs="Times New Roman"/>
          <w:sz w:val="24"/>
          <w:szCs w:val="24"/>
        </w:rPr>
      </w:pPr>
      <w:r>
        <w:rPr>
          <w:rFonts w:ascii="Verdana" w:hAnsi="Verdana" w:cs="Verdana"/>
          <w:sz w:val="24"/>
          <w:szCs w:val="24"/>
        </w:rPr>
        <w:t>(b) The estimated realisable value of the collateral security to which a Nidhi has valid recourse may be reduced from the aggregate outstanding amount, if the proceedings for the sale of the mortgaged property have been initiated in a court of law within t</w:t>
      </w:r>
      <w:r>
        <w:rPr>
          <w:rFonts w:ascii="Verdana" w:hAnsi="Verdana" w:cs="Verdana"/>
          <w:sz w:val="24"/>
          <w:szCs w:val="24"/>
        </w:rPr>
        <w:t>he previous two years of the interest, income or instalment remaining unrealised.</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7" w:lineRule="exact"/>
        <w:rPr>
          <w:rFonts w:ascii="Times New Roman" w:hAnsi="Times New Roman" w:cs="Times New Roman"/>
          <w:sz w:val="24"/>
          <w:szCs w:val="24"/>
        </w:rPr>
      </w:pPr>
    </w:p>
    <w:p w:rsidR="00000000" w:rsidRDefault="004D7F71">
      <w:pPr>
        <w:pStyle w:val="DefaultParagraphFont"/>
        <w:widowControl w:val="0"/>
        <w:tabs>
          <w:tab w:val="left" w:pos="940"/>
        </w:tabs>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(4).</w:t>
      </w:r>
      <w:r>
        <w:rPr>
          <w:rFonts w:ascii="Times New Roman" w:hAnsi="Times New Roman" w:cs="Times New Roman"/>
          <w:sz w:val="24"/>
          <w:szCs w:val="24"/>
        </w:rPr>
        <w:tab/>
      </w:r>
      <w:r>
        <w:rPr>
          <w:rFonts w:ascii="Verdana" w:hAnsi="Verdana" w:cs="Verdana"/>
          <w:sz w:val="24"/>
          <w:szCs w:val="24"/>
        </w:rPr>
        <w:t>Time limit for compliance</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320" w:bottom="452" w:left="1440" w:header="720" w:footer="720" w:gutter="0"/>
          <w:cols w:space="720" w:equalWidth="0">
            <w:col w:w="948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3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15</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560" w:header="720" w:footer="720" w:gutter="0"/>
          <w:cols w:space="720" w:equalWidth="0">
            <w:col w:w="24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6" w:name="page16"/>
      <w:bookmarkEnd w:id="16"/>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8" w:lineRule="auto"/>
        <w:jc w:val="both"/>
        <w:rPr>
          <w:rFonts w:ascii="Times New Roman" w:hAnsi="Times New Roman" w:cs="Times New Roman"/>
          <w:sz w:val="24"/>
          <w:szCs w:val="24"/>
        </w:rPr>
      </w:pPr>
      <w:r>
        <w:rPr>
          <w:rFonts w:ascii="Verdana" w:hAnsi="Verdana" w:cs="Verdana"/>
          <w:sz w:val="24"/>
          <w:szCs w:val="24"/>
        </w:rPr>
        <w:t>In case of companies which were incorporated on or before 26-07-2001, such companie</w:t>
      </w:r>
      <w:r>
        <w:rPr>
          <w:rFonts w:ascii="Verdana" w:hAnsi="Verdana" w:cs="Verdana"/>
          <w:sz w:val="24"/>
          <w:szCs w:val="24"/>
        </w:rPr>
        <w:t>s shall make provisions in respect of loans disbursed and outstanding as on 31-03-2002 for income reversal and non-performing assets as per table given below:</w:t>
      </w:r>
    </w:p>
    <w:p w:rsidR="00000000" w:rsidRDefault="004D7F71">
      <w:pPr>
        <w:pStyle w:val="DefaultParagraphFont"/>
        <w:widowControl w:val="0"/>
        <w:autoSpaceDE w:val="0"/>
        <w:autoSpaceDN w:val="0"/>
        <w:adjustRightInd w:val="0"/>
        <w:spacing w:after="0" w:line="276" w:lineRule="exact"/>
        <w:rPr>
          <w:rFonts w:ascii="Times New Roman" w:hAnsi="Times New Roman" w:cs="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40"/>
        <w:gridCol w:w="2940"/>
        <w:gridCol w:w="720"/>
        <w:gridCol w:w="3780"/>
        <w:gridCol w:w="1180"/>
      </w:tblGrid>
      <w:tr w:rsidR="00000000">
        <w:tblPrEx>
          <w:tblCellMar>
            <w:top w:w="0" w:type="dxa"/>
            <w:left w:w="0" w:type="dxa"/>
            <w:bottom w:w="0" w:type="dxa"/>
            <w:right w:w="0" w:type="dxa"/>
          </w:tblCellMar>
        </w:tblPrEx>
        <w:trPr>
          <w:trHeight w:val="300"/>
        </w:trPr>
        <w:tc>
          <w:tcPr>
            <w:tcW w:w="74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940" w:type="dxa"/>
            <w:tcBorders>
              <w:top w:val="single" w:sz="8" w:space="0" w:color="auto"/>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40" w:lineRule="auto"/>
              <w:ind w:left="80"/>
              <w:rPr>
                <w:rFonts w:ascii="Times New Roman" w:hAnsi="Times New Roman" w:cs="Times New Roman"/>
                <w:sz w:val="24"/>
                <w:szCs w:val="24"/>
              </w:rPr>
            </w:pPr>
            <w:r>
              <w:rPr>
                <w:rFonts w:ascii="Verdana" w:hAnsi="Verdana" w:cs="Verdana"/>
                <w:sz w:val="24"/>
                <w:szCs w:val="24"/>
              </w:rPr>
              <w:t>For the year ended</w:t>
            </w:r>
          </w:p>
        </w:tc>
        <w:tc>
          <w:tcPr>
            <w:tcW w:w="720" w:type="dxa"/>
            <w:tcBorders>
              <w:top w:val="single" w:sz="8" w:space="0" w:color="auto"/>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780" w:type="dxa"/>
            <w:tcBorders>
              <w:top w:val="single" w:sz="8" w:space="0" w:color="auto"/>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Verdana" w:hAnsi="Verdana" w:cs="Verdana"/>
                <w:sz w:val="24"/>
                <w:szCs w:val="24"/>
              </w:rPr>
              <w:t>Extent of provision</w:t>
            </w:r>
          </w:p>
        </w:tc>
        <w:tc>
          <w:tcPr>
            <w:tcW w:w="11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80"/>
        </w:trPr>
        <w:tc>
          <w:tcPr>
            <w:tcW w:w="74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94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80" w:lineRule="exact"/>
              <w:ind w:left="80"/>
              <w:rPr>
                <w:rFonts w:ascii="Times New Roman" w:hAnsi="Times New Roman" w:cs="Times New Roman"/>
                <w:sz w:val="24"/>
                <w:szCs w:val="24"/>
              </w:rPr>
            </w:pPr>
            <w:r>
              <w:rPr>
                <w:rFonts w:ascii="Verdana" w:hAnsi="Verdana" w:cs="Verdana"/>
                <w:sz w:val="24"/>
                <w:szCs w:val="24"/>
              </w:rPr>
              <w:t>31-03-2014</w:t>
            </w:r>
          </w:p>
        </w:tc>
        <w:tc>
          <w:tcPr>
            <w:tcW w:w="72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78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80" w:lineRule="exact"/>
              <w:ind w:left="100"/>
              <w:rPr>
                <w:rFonts w:ascii="Times New Roman" w:hAnsi="Times New Roman" w:cs="Times New Roman"/>
                <w:sz w:val="24"/>
                <w:szCs w:val="24"/>
              </w:rPr>
            </w:pPr>
            <w:r>
              <w:rPr>
                <w:rFonts w:ascii="Verdana" w:hAnsi="Verdana" w:cs="Verdana"/>
                <w:sz w:val="24"/>
                <w:szCs w:val="24"/>
              </w:rPr>
              <w:t>Un-provided    balanceon</w:t>
            </w:r>
          </w:p>
        </w:tc>
        <w:tc>
          <w:tcPr>
            <w:tcW w:w="11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82"/>
        </w:trPr>
        <w:tc>
          <w:tcPr>
            <w:tcW w:w="74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94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82" w:lineRule="exact"/>
              <w:ind w:left="80"/>
              <w:rPr>
                <w:rFonts w:ascii="Times New Roman" w:hAnsi="Times New Roman" w:cs="Times New Roman"/>
                <w:sz w:val="24"/>
                <w:szCs w:val="24"/>
              </w:rPr>
            </w:pPr>
            <w:r>
              <w:rPr>
                <w:rFonts w:ascii="Verdana" w:hAnsi="Verdana" w:cs="Verdana"/>
                <w:sz w:val="24"/>
                <w:szCs w:val="24"/>
              </w:rPr>
              <w:t>31-03-2015</w:t>
            </w:r>
          </w:p>
        </w:tc>
        <w:tc>
          <w:tcPr>
            <w:tcW w:w="72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78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72" w:lineRule="exact"/>
              <w:ind w:left="100"/>
              <w:rPr>
                <w:rFonts w:ascii="Times New Roman" w:hAnsi="Times New Roman" w:cs="Times New Roman"/>
                <w:sz w:val="24"/>
                <w:szCs w:val="24"/>
              </w:rPr>
            </w:pPr>
            <w:r>
              <w:rPr>
                <w:rFonts w:ascii="Verdana" w:hAnsi="Verdana" w:cs="Verdana"/>
                <w:sz w:val="24"/>
                <w:szCs w:val="24"/>
              </w:rPr>
              <w:t>equal  basis  over  the  three</w:t>
            </w:r>
          </w:p>
        </w:tc>
        <w:tc>
          <w:tcPr>
            <w:tcW w:w="11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80"/>
        </w:trPr>
        <w:tc>
          <w:tcPr>
            <w:tcW w:w="74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9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80" w:lineRule="exact"/>
              <w:ind w:left="80"/>
              <w:rPr>
                <w:rFonts w:ascii="Times New Roman" w:hAnsi="Times New Roman" w:cs="Times New Roman"/>
                <w:sz w:val="24"/>
                <w:szCs w:val="24"/>
              </w:rPr>
            </w:pPr>
            <w:r>
              <w:rPr>
                <w:rFonts w:ascii="Verdana" w:hAnsi="Verdana" w:cs="Verdana"/>
                <w:sz w:val="24"/>
                <w:szCs w:val="24"/>
              </w:rPr>
              <w:t>31-03-2016</w:t>
            </w:r>
          </w:p>
        </w:tc>
        <w:tc>
          <w:tcPr>
            <w:tcW w:w="72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78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60" w:lineRule="exact"/>
              <w:ind w:left="100"/>
              <w:rPr>
                <w:rFonts w:ascii="Times New Roman" w:hAnsi="Times New Roman" w:cs="Times New Roman"/>
                <w:sz w:val="24"/>
                <w:szCs w:val="24"/>
              </w:rPr>
            </w:pPr>
            <w:r>
              <w:rPr>
                <w:rFonts w:ascii="Verdana" w:hAnsi="Verdana" w:cs="Verdana"/>
                <w:sz w:val="24"/>
                <w:szCs w:val="24"/>
              </w:rPr>
              <w:t>years  as  specified  in  the</w:t>
            </w:r>
          </w:p>
        </w:tc>
        <w:tc>
          <w:tcPr>
            <w:tcW w:w="11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p>
        </w:tc>
      </w:tr>
      <w:tr w:rsidR="00000000">
        <w:tblPrEx>
          <w:tblCellMar>
            <w:top w:w="0" w:type="dxa"/>
            <w:left w:w="0" w:type="dxa"/>
            <w:bottom w:w="0" w:type="dxa"/>
            <w:right w:w="0" w:type="dxa"/>
          </w:tblCellMar>
        </w:tblPrEx>
        <w:trPr>
          <w:trHeight w:val="275"/>
        </w:trPr>
        <w:tc>
          <w:tcPr>
            <w:tcW w:w="740" w:type="dxa"/>
            <w:tcBorders>
              <w:top w:val="nil"/>
              <w:left w:val="nil"/>
              <w:bottom w:val="nil"/>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2940" w:type="dxa"/>
            <w:tcBorders>
              <w:top w:val="nil"/>
              <w:left w:val="nil"/>
              <w:bottom w:val="single" w:sz="8" w:space="0" w:color="auto"/>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72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3780" w:type="dxa"/>
            <w:tcBorders>
              <w:top w:val="nil"/>
              <w:left w:val="nil"/>
              <w:bottom w:val="single" w:sz="8" w:space="0" w:color="auto"/>
              <w:right w:val="single" w:sz="8" w:space="0" w:color="auto"/>
            </w:tcBorders>
            <w:vAlign w:val="bottom"/>
          </w:tcPr>
          <w:p w:rsidR="00000000" w:rsidRDefault="004D7F71">
            <w:pPr>
              <w:pStyle w:val="DefaultParagraphFont"/>
              <w:widowControl w:val="0"/>
              <w:autoSpaceDE w:val="0"/>
              <w:autoSpaceDN w:val="0"/>
              <w:adjustRightInd w:val="0"/>
              <w:spacing w:after="0" w:line="273" w:lineRule="exact"/>
              <w:ind w:left="100"/>
              <w:rPr>
                <w:rFonts w:ascii="Times New Roman" w:hAnsi="Times New Roman" w:cs="Times New Roman"/>
                <w:sz w:val="24"/>
                <w:szCs w:val="24"/>
              </w:rPr>
            </w:pPr>
            <w:r>
              <w:rPr>
                <w:rFonts w:ascii="Verdana" w:hAnsi="Verdana" w:cs="Verdana"/>
                <w:sz w:val="24"/>
                <w:szCs w:val="24"/>
              </w:rPr>
              <w:t>preceding column.</w:t>
            </w:r>
          </w:p>
        </w:tc>
        <w:tc>
          <w:tcPr>
            <w:tcW w:w="118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3"/>
                <w:szCs w:val="23"/>
              </w:rPr>
            </w:pPr>
          </w:p>
        </w:tc>
      </w:tr>
      <w:tr w:rsidR="00000000">
        <w:tblPrEx>
          <w:tblCellMar>
            <w:top w:w="0" w:type="dxa"/>
            <w:left w:w="0" w:type="dxa"/>
            <w:bottom w:w="0" w:type="dxa"/>
            <w:right w:w="0" w:type="dxa"/>
          </w:tblCellMar>
        </w:tblPrEx>
        <w:trPr>
          <w:trHeight w:val="572"/>
        </w:trPr>
        <w:tc>
          <w:tcPr>
            <w:tcW w:w="7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right="160"/>
              <w:jc w:val="right"/>
              <w:rPr>
                <w:rFonts w:ascii="Times New Roman" w:hAnsi="Times New Roman" w:cs="Times New Roman"/>
                <w:sz w:val="24"/>
                <w:szCs w:val="24"/>
              </w:rPr>
            </w:pPr>
            <w:r>
              <w:rPr>
                <w:rFonts w:ascii="Verdana" w:hAnsi="Verdana" w:cs="Verdana"/>
                <w:w w:val="95"/>
                <w:sz w:val="24"/>
                <w:szCs w:val="24"/>
              </w:rPr>
              <w:t>(5).</w:t>
            </w:r>
          </w:p>
        </w:tc>
        <w:tc>
          <w:tcPr>
            <w:tcW w:w="2940" w:type="dxa"/>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880"/>
              <w:rPr>
                <w:rFonts w:ascii="Times New Roman" w:hAnsi="Times New Roman" w:cs="Times New Roman"/>
                <w:sz w:val="24"/>
                <w:szCs w:val="24"/>
              </w:rPr>
            </w:pPr>
            <w:r>
              <w:rPr>
                <w:rFonts w:ascii="Verdana" w:hAnsi="Verdana" w:cs="Verdana"/>
                <w:sz w:val="24"/>
                <w:szCs w:val="24"/>
              </w:rPr>
              <w:t>A Nidhi may, if</w:t>
            </w:r>
          </w:p>
        </w:tc>
        <w:tc>
          <w:tcPr>
            <w:tcW w:w="5680" w:type="dxa"/>
            <w:gridSpan w:val="3"/>
            <w:tcBorders>
              <w:top w:val="nil"/>
              <w:left w:val="nil"/>
              <w:bottom w:val="nil"/>
              <w:right w:val="nil"/>
            </w:tcBorders>
            <w:vAlign w:val="bottom"/>
          </w:tcPr>
          <w:p w:rsidR="00000000" w:rsidRDefault="004D7F71">
            <w:pPr>
              <w:pStyle w:val="DefaultParagraphFont"/>
              <w:widowControl w:val="0"/>
              <w:autoSpaceDE w:val="0"/>
              <w:autoSpaceDN w:val="0"/>
              <w:adjustRightInd w:val="0"/>
              <w:spacing w:after="0" w:line="240" w:lineRule="auto"/>
              <w:ind w:left="60"/>
              <w:rPr>
                <w:rFonts w:ascii="Times New Roman" w:hAnsi="Times New Roman" w:cs="Times New Roman"/>
                <w:sz w:val="24"/>
                <w:szCs w:val="24"/>
              </w:rPr>
            </w:pPr>
            <w:r>
              <w:rPr>
                <w:rFonts w:ascii="Verdana" w:hAnsi="Verdana" w:cs="Verdana"/>
                <w:sz w:val="24"/>
                <w:szCs w:val="24"/>
              </w:rPr>
              <w:t>it so desires, make provision exceeding the</w:t>
            </w:r>
          </w:p>
        </w:tc>
      </w:tr>
    </w:tbl>
    <w:p w:rsidR="00000000" w:rsidRDefault="004D7F71">
      <w:pPr>
        <w:pStyle w:val="DefaultParagraphFont"/>
        <w:widowControl w:val="0"/>
        <w:autoSpaceDE w:val="0"/>
        <w:autoSpaceDN w:val="0"/>
        <w:adjustRightInd w:val="0"/>
        <w:spacing w:after="0" w:line="238" w:lineRule="auto"/>
        <w:rPr>
          <w:rFonts w:ascii="Times New Roman" w:hAnsi="Times New Roman" w:cs="Times New Roman"/>
          <w:sz w:val="24"/>
          <w:szCs w:val="24"/>
        </w:rPr>
      </w:pPr>
      <w:r>
        <w:rPr>
          <w:rFonts w:ascii="Verdana" w:hAnsi="Verdana" w:cs="Verdana"/>
          <w:sz w:val="24"/>
          <w:szCs w:val="24"/>
        </w:rPr>
        <w:t>percentage specified in the preceding sub-rule.</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6" w:lineRule="auto"/>
        <w:jc w:val="both"/>
        <w:rPr>
          <w:rFonts w:ascii="Times New Roman" w:hAnsi="Times New Roman" w:cs="Times New Roman"/>
          <w:sz w:val="24"/>
          <w:szCs w:val="24"/>
        </w:rPr>
      </w:pPr>
      <w:r>
        <w:rPr>
          <w:rFonts w:ascii="Verdana" w:hAnsi="Verdana" w:cs="Verdana"/>
          <w:sz w:val="24"/>
          <w:szCs w:val="24"/>
        </w:rPr>
        <w:t>(6).(a) The Notes on the financial statements of a year should clearly disclose:</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4D7F71">
      <w:pPr>
        <w:pStyle w:val="DefaultParagraphFont"/>
        <w:widowControl w:val="0"/>
        <w:numPr>
          <w:ilvl w:val="0"/>
          <w:numId w:val="51"/>
        </w:numPr>
        <w:tabs>
          <w:tab w:val="clear" w:pos="720"/>
          <w:tab w:val="num" w:pos="993"/>
        </w:tabs>
        <w:overflowPunct w:val="0"/>
        <w:autoSpaceDE w:val="0"/>
        <w:autoSpaceDN w:val="0"/>
        <w:adjustRightInd w:val="0"/>
        <w:spacing w:after="0" w:line="215" w:lineRule="auto"/>
        <w:ind w:left="580" w:hanging="1"/>
        <w:jc w:val="both"/>
        <w:rPr>
          <w:rFonts w:ascii="Verdana" w:hAnsi="Verdana" w:cs="Verdana"/>
          <w:sz w:val="24"/>
          <w:szCs w:val="24"/>
        </w:rPr>
      </w:pPr>
      <w:r>
        <w:rPr>
          <w:rFonts w:ascii="Verdana" w:hAnsi="Verdana" w:cs="Verdana"/>
          <w:sz w:val="24"/>
          <w:szCs w:val="24"/>
        </w:rPr>
        <w:t xml:space="preserve">The total amount of provisions, if any, to be made on account of income reversal and non-performing assets remaining unrealised; </w:t>
      </w:r>
    </w:p>
    <w:p w:rsidR="00000000" w:rsidRDefault="004D7F71">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4D7F71">
      <w:pPr>
        <w:pStyle w:val="DefaultParagraphFont"/>
        <w:widowControl w:val="0"/>
        <w:numPr>
          <w:ilvl w:val="0"/>
          <w:numId w:val="51"/>
        </w:numPr>
        <w:tabs>
          <w:tab w:val="clear" w:pos="720"/>
          <w:tab w:val="num" w:pos="1020"/>
        </w:tabs>
        <w:overflowPunct w:val="0"/>
        <w:autoSpaceDE w:val="0"/>
        <w:autoSpaceDN w:val="0"/>
        <w:adjustRightInd w:val="0"/>
        <w:spacing w:after="0" w:line="240" w:lineRule="auto"/>
        <w:ind w:left="1020" w:hanging="441"/>
        <w:jc w:val="both"/>
        <w:rPr>
          <w:rFonts w:ascii="Verdana" w:hAnsi="Verdana" w:cs="Verdana"/>
          <w:sz w:val="24"/>
          <w:szCs w:val="24"/>
        </w:rPr>
      </w:pPr>
      <w:r>
        <w:rPr>
          <w:rFonts w:ascii="Verdana" w:hAnsi="Verdana" w:cs="Verdana"/>
          <w:sz w:val="24"/>
          <w:szCs w:val="24"/>
        </w:rPr>
        <w:t xml:space="preserve">The cumulative amount provided till the previous year; </w:t>
      </w:r>
    </w:p>
    <w:p w:rsidR="00000000" w:rsidRDefault="004D7F71">
      <w:pPr>
        <w:pStyle w:val="DefaultParagraphFont"/>
        <w:widowControl w:val="0"/>
        <w:autoSpaceDE w:val="0"/>
        <w:autoSpaceDN w:val="0"/>
        <w:adjustRightInd w:val="0"/>
        <w:spacing w:after="0" w:line="291" w:lineRule="exact"/>
        <w:rPr>
          <w:rFonts w:ascii="Verdana" w:hAnsi="Verdana" w:cs="Verdana"/>
          <w:sz w:val="24"/>
          <w:szCs w:val="24"/>
        </w:rPr>
      </w:pPr>
    </w:p>
    <w:p w:rsidR="00000000" w:rsidRDefault="004D7F71">
      <w:pPr>
        <w:pStyle w:val="DefaultParagraphFont"/>
        <w:widowControl w:val="0"/>
        <w:numPr>
          <w:ilvl w:val="0"/>
          <w:numId w:val="51"/>
        </w:numPr>
        <w:tabs>
          <w:tab w:val="clear" w:pos="720"/>
          <w:tab w:val="num" w:pos="1080"/>
        </w:tabs>
        <w:overflowPunct w:val="0"/>
        <w:autoSpaceDE w:val="0"/>
        <w:autoSpaceDN w:val="0"/>
        <w:adjustRightInd w:val="0"/>
        <w:spacing w:after="0" w:line="240" w:lineRule="auto"/>
        <w:ind w:left="1080" w:hanging="501"/>
        <w:jc w:val="both"/>
        <w:rPr>
          <w:rFonts w:ascii="Verdana" w:hAnsi="Verdana" w:cs="Verdana"/>
          <w:sz w:val="24"/>
          <w:szCs w:val="24"/>
        </w:rPr>
      </w:pPr>
      <w:r>
        <w:rPr>
          <w:rFonts w:ascii="Verdana" w:hAnsi="Verdana" w:cs="Verdana"/>
          <w:sz w:val="24"/>
          <w:szCs w:val="24"/>
        </w:rPr>
        <w:t xml:space="preserve">The amount provided in the current year; and </w:t>
      </w:r>
    </w:p>
    <w:p w:rsidR="00000000" w:rsidRDefault="004D7F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580"/>
        <w:rPr>
          <w:rFonts w:ascii="Times New Roman" w:hAnsi="Times New Roman" w:cs="Times New Roman"/>
          <w:sz w:val="24"/>
          <w:szCs w:val="24"/>
        </w:rPr>
      </w:pPr>
      <w:r>
        <w:rPr>
          <w:rFonts w:ascii="Verdana" w:hAnsi="Verdana" w:cs="Verdana"/>
          <w:sz w:val="24"/>
          <w:szCs w:val="24"/>
        </w:rPr>
        <w:t>(iv)The balance amount to be provided.</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rPr>
          <w:rFonts w:ascii="Times New Roman" w:hAnsi="Times New Roman" w:cs="Times New Roman"/>
          <w:sz w:val="24"/>
          <w:szCs w:val="24"/>
        </w:rPr>
      </w:pPr>
      <w:r>
        <w:rPr>
          <w:rFonts w:ascii="Verdana" w:hAnsi="Verdana" w:cs="Verdana"/>
          <w:sz w:val="24"/>
          <w:szCs w:val="24"/>
        </w:rPr>
        <w:t xml:space="preserve">(b) Such disclosure shall continue to be made until the entire amount to be provided has been provided </w:t>
      </w:r>
      <w:r>
        <w:rPr>
          <w:rFonts w:ascii="Verdana" w:hAnsi="Verdana" w:cs="Verdana"/>
          <w:sz w:val="24"/>
          <w:szCs w:val="24"/>
        </w:rPr>
        <w:t>for.</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6" w:lineRule="exact"/>
        <w:rPr>
          <w:rFonts w:ascii="Times New Roman" w:hAnsi="Times New Roman" w:cs="Times New Roman"/>
          <w:sz w:val="24"/>
          <w:szCs w:val="24"/>
        </w:rPr>
      </w:pPr>
    </w:p>
    <w:p w:rsidR="00000000" w:rsidRDefault="004D7F71">
      <w:pPr>
        <w:pStyle w:val="DefaultParagraphFont"/>
        <w:widowControl w:val="0"/>
        <w:numPr>
          <w:ilvl w:val="0"/>
          <w:numId w:val="52"/>
        </w:numPr>
        <w:tabs>
          <w:tab w:val="clear" w:pos="720"/>
          <w:tab w:val="num" w:pos="620"/>
        </w:tabs>
        <w:overflowPunct w:val="0"/>
        <w:autoSpaceDE w:val="0"/>
        <w:autoSpaceDN w:val="0"/>
        <w:adjustRightInd w:val="0"/>
        <w:spacing w:after="0" w:line="240" w:lineRule="auto"/>
        <w:ind w:left="620" w:hanging="620"/>
        <w:jc w:val="both"/>
        <w:rPr>
          <w:rFonts w:ascii="Verdana" w:hAnsi="Verdana" w:cs="Verdana"/>
          <w:sz w:val="24"/>
          <w:szCs w:val="24"/>
        </w:rPr>
      </w:pPr>
      <w:r>
        <w:rPr>
          <w:rFonts w:ascii="Verdana" w:hAnsi="Verdana" w:cs="Verdana"/>
          <w:sz w:val="24"/>
          <w:szCs w:val="24"/>
        </w:rPr>
        <w:t xml:space="preserve">In respect of loans against gold or Jewellery: </w:t>
      </w:r>
    </w:p>
    <w:p w:rsidR="00000000" w:rsidRDefault="004D7F71">
      <w:pPr>
        <w:pStyle w:val="DefaultParagraphFont"/>
        <w:widowControl w:val="0"/>
        <w:autoSpaceDE w:val="0"/>
        <w:autoSpaceDN w:val="0"/>
        <w:adjustRightInd w:val="0"/>
        <w:spacing w:after="0" w:line="350" w:lineRule="exact"/>
        <w:rPr>
          <w:rFonts w:ascii="Verdana" w:hAnsi="Verdana" w:cs="Verdana"/>
          <w:sz w:val="24"/>
          <w:szCs w:val="24"/>
        </w:rPr>
      </w:pPr>
    </w:p>
    <w:p w:rsidR="00000000" w:rsidRDefault="004D7F71">
      <w:pPr>
        <w:pStyle w:val="DefaultParagraphFont"/>
        <w:widowControl w:val="0"/>
        <w:numPr>
          <w:ilvl w:val="1"/>
          <w:numId w:val="52"/>
        </w:numPr>
        <w:tabs>
          <w:tab w:val="clear" w:pos="1440"/>
          <w:tab w:val="num" w:pos="1062"/>
        </w:tabs>
        <w:overflowPunct w:val="0"/>
        <w:autoSpaceDE w:val="0"/>
        <w:autoSpaceDN w:val="0"/>
        <w:adjustRightInd w:val="0"/>
        <w:spacing w:after="0" w:line="223" w:lineRule="auto"/>
        <w:ind w:left="580" w:hanging="1"/>
        <w:jc w:val="both"/>
        <w:rPr>
          <w:rFonts w:ascii="Verdana" w:hAnsi="Verdana" w:cs="Verdana"/>
          <w:sz w:val="24"/>
          <w:szCs w:val="24"/>
        </w:rPr>
      </w:pPr>
      <w:r>
        <w:rPr>
          <w:rFonts w:ascii="Verdana" w:hAnsi="Verdana" w:cs="Verdana"/>
          <w:sz w:val="24"/>
          <w:szCs w:val="24"/>
        </w:rPr>
        <w:t xml:space="preserve">The aggregate amount of loan outstanding against the security of gold or jewellery shall either be recovered or renewed within three months from the due date of repayment. </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9120"/>
        <w:rPr>
          <w:rFonts w:ascii="Times New Roman" w:hAnsi="Times New Roman" w:cs="Times New Roman"/>
          <w:sz w:val="24"/>
          <w:szCs w:val="24"/>
        </w:rPr>
      </w:pPr>
      <w:r>
        <w:rPr>
          <w:rFonts w:ascii="Times New Roman" w:hAnsi="Times New Roman" w:cs="Times New Roman"/>
          <w:sz w:val="24"/>
          <w:szCs w:val="24"/>
        </w:rPr>
        <w:t>16</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7" w:name="page17"/>
      <w:bookmarkEnd w:id="17"/>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numPr>
          <w:ilvl w:val="1"/>
          <w:numId w:val="53"/>
        </w:numPr>
        <w:tabs>
          <w:tab w:val="clear" w:pos="1440"/>
          <w:tab w:val="num" w:pos="1048"/>
        </w:tabs>
        <w:overflowPunct w:val="0"/>
        <w:autoSpaceDE w:val="0"/>
        <w:autoSpaceDN w:val="0"/>
        <w:adjustRightInd w:val="0"/>
        <w:spacing w:after="0" w:line="230" w:lineRule="auto"/>
        <w:ind w:left="580" w:hanging="1"/>
        <w:jc w:val="both"/>
        <w:rPr>
          <w:rFonts w:ascii="Verdana" w:hAnsi="Verdana" w:cs="Verdana"/>
          <w:sz w:val="24"/>
          <w:szCs w:val="24"/>
        </w:rPr>
      </w:pPr>
      <w:r>
        <w:rPr>
          <w:rFonts w:ascii="Verdana" w:hAnsi="Verdana" w:cs="Verdana"/>
          <w:sz w:val="24"/>
          <w:szCs w:val="24"/>
        </w:rPr>
        <w:t>If the loan is not recovered or renewed and the security is not sold within the aforesaid period of three months, the company should make provision in the current year’</w:t>
      </w:r>
      <w:r>
        <w:rPr>
          <w:rFonts w:ascii="Verdana" w:hAnsi="Verdana" w:cs="Verdana"/>
          <w:sz w:val="24"/>
          <w:szCs w:val="24"/>
        </w:rPr>
        <w:t xml:space="preserve">s financial statements to the extent of unrealised amount or the aggregate outstanding amount of loan including interest as applicable. </w:t>
      </w:r>
    </w:p>
    <w:p w:rsidR="00000000" w:rsidRDefault="004D7F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4D7F71">
      <w:pPr>
        <w:pStyle w:val="DefaultParagraphFont"/>
        <w:widowControl w:val="0"/>
        <w:numPr>
          <w:ilvl w:val="1"/>
          <w:numId w:val="53"/>
        </w:numPr>
        <w:tabs>
          <w:tab w:val="clear" w:pos="1440"/>
          <w:tab w:val="num" w:pos="1034"/>
        </w:tabs>
        <w:overflowPunct w:val="0"/>
        <w:autoSpaceDE w:val="0"/>
        <w:autoSpaceDN w:val="0"/>
        <w:adjustRightInd w:val="0"/>
        <w:spacing w:after="0" w:line="223" w:lineRule="auto"/>
        <w:ind w:left="580" w:hanging="1"/>
        <w:jc w:val="both"/>
        <w:rPr>
          <w:rFonts w:ascii="Verdana" w:hAnsi="Verdana" w:cs="Verdana"/>
          <w:sz w:val="24"/>
          <w:szCs w:val="24"/>
        </w:rPr>
      </w:pPr>
      <w:r>
        <w:rPr>
          <w:rFonts w:ascii="Verdana" w:hAnsi="Verdana" w:cs="Verdana"/>
          <w:sz w:val="24"/>
          <w:szCs w:val="24"/>
        </w:rPr>
        <w:t xml:space="preserve">No income shall be recognised on such loans outstanding after the expiry of the three months period specified in (a) above or sale of gold or jewellery, whichever is earlier.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6" w:lineRule="exact"/>
        <w:rPr>
          <w:rFonts w:ascii="Verdana" w:hAnsi="Verdana" w:cs="Verdana"/>
          <w:sz w:val="24"/>
          <w:szCs w:val="24"/>
        </w:rPr>
      </w:pPr>
    </w:p>
    <w:p w:rsidR="00000000" w:rsidRDefault="004D7F71">
      <w:pPr>
        <w:pStyle w:val="DefaultParagraphFont"/>
        <w:widowControl w:val="0"/>
        <w:numPr>
          <w:ilvl w:val="0"/>
          <w:numId w:val="54"/>
        </w:numPr>
        <w:tabs>
          <w:tab w:val="clear" w:pos="720"/>
          <w:tab w:val="num" w:pos="751"/>
        </w:tabs>
        <w:overflowPunct w:val="0"/>
        <w:autoSpaceDE w:val="0"/>
        <w:autoSpaceDN w:val="0"/>
        <w:adjustRightInd w:val="0"/>
        <w:spacing w:after="0" w:line="230" w:lineRule="auto"/>
        <w:ind w:left="0" w:firstLine="0"/>
        <w:jc w:val="both"/>
        <w:rPr>
          <w:rFonts w:ascii="Verdana" w:hAnsi="Verdana" w:cs="Verdana"/>
          <w:b/>
          <w:bCs/>
          <w:sz w:val="24"/>
          <w:szCs w:val="24"/>
        </w:rPr>
      </w:pPr>
      <w:r>
        <w:rPr>
          <w:rFonts w:ascii="Verdana" w:hAnsi="Verdana" w:cs="Verdana"/>
          <w:sz w:val="24"/>
          <w:szCs w:val="24"/>
        </w:rPr>
        <w:t>Every company covered under rule 3 shall file half yearly return with th</w:t>
      </w:r>
      <w:r>
        <w:rPr>
          <w:rFonts w:ascii="Verdana" w:hAnsi="Verdana" w:cs="Verdana"/>
          <w:sz w:val="24"/>
          <w:szCs w:val="24"/>
        </w:rPr>
        <w:t xml:space="preserve">e Registrar in </w:t>
      </w:r>
      <w:r>
        <w:rPr>
          <w:rFonts w:ascii="Verdana" w:hAnsi="Verdana" w:cs="Verdana"/>
          <w:b/>
          <w:bCs/>
          <w:sz w:val="24"/>
          <w:szCs w:val="24"/>
        </w:rPr>
        <w:t>Form No</w:t>
      </w:r>
      <w:r>
        <w:rPr>
          <w:rFonts w:ascii="Verdana" w:hAnsi="Verdana" w:cs="Verdana"/>
          <w:sz w:val="24"/>
          <w:szCs w:val="24"/>
        </w:rPr>
        <w:t xml:space="preserve">. </w:t>
      </w:r>
      <w:r>
        <w:rPr>
          <w:rFonts w:ascii="Verdana" w:hAnsi="Verdana" w:cs="Verdana"/>
          <w:b/>
          <w:bCs/>
          <w:sz w:val="24"/>
          <w:szCs w:val="24"/>
        </w:rPr>
        <w:t>26.3</w:t>
      </w:r>
      <w:r>
        <w:rPr>
          <w:rFonts w:ascii="Verdana" w:hAnsi="Verdana" w:cs="Verdana"/>
          <w:sz w:val="24"/>
          <w:szCs w:val="24"/>
        </w:rPr>
        <w:t xml:space="preserve"> along with such fee as provided in Annexure ‘B’ within 30 days from the conclusion of each half year duly certified by a Company Secretary in practice/Chartered Accountant/Cost Accountant without filing fees. </w:t>
      </w:r>
    </w:p>
    <w:p w:rsidR="00000000" w:rsidRDefault="004D7F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4D7F71">
      <w:pPr>
        <w:pStyle w:val="DefaultParagraphFont"/>
        <w:widowControl w:val="0"/>
        <w:autoSpaceDE w:val="0"/>
        <w:autoSpaceDN w:val="0"/>
        <w:adjustRightInd w:val="0"/>
        <w:spacing w:after="0" w:line="386" w:lineRule="exact"/>
        <w:rPr>
          <w:rFonts w:ascii="Verdana" w:hAnsi="Verdana" w:cs="Verdana"/>
          <w:b/>
          <w:bCs/>
          <w:sz w:val="24"/>
          <w:szCs w:val="24"/>
        </w:rPr>
      </w:pPr>
    </w:p>
    <w:p w:rsidR="00000000" w:rsidRDefault="004D7F71">
      <w:pPr>
        <w:pStyle w:val="DefaultParagraphFont"/>
        <w:widowControl w:val="0"/>
        <w:numPr>
          <w:ilvl w:val="0"/>
          <w:numId w:val="54"/>
        </w:numPr>
        <w:tabs>
          <w:tab w:val="clear" w:pos="720"/>
          <w:tab w:val="num" w:pos="580"/>
        </w:tabs>
        <w:overflowPunct w:val="0"/>
        <w:autoSpaceDE w:val="0"/>
        <w:autoSpaceDN w:val="0"/>
        <w:adjustRightInd w:val="0"/>
        <w:spacing w:after="0" w:line="240" w:lineRule="auto"/>
        <w:ind w:left="580" w:hanging="580"/>
        <w:jc w:val="both"/>
        <w:rPr>
          <w:rFonts w:ascii="Verdana" w:hAnsi="Verdana" w:cs="Verdana"/>
          <w:b/>
          <w:bCs/>
          <w:sz w:val="24"/>
          <w:szCs w:val="24"/>
        </w:rPr>
      </w:pPr>
      <w:r>
        <w:rPr>
          <w:rFonts w:ascii="Verdana" w:hAnsi="Verdana" w:cs="Verdana"/>
          <w:b/>
          <w:bCs/>
          <w:sz w:val="24"/>
          <w:szCs w:val="24"/>
        </w:rPr>
        <w:t>Auditor’</w:t>
      </w:r>
      <w:r>
        <w:rPr>
          <w:rFonts w:ascii="Verdana" w:hAnsi="Verdana" w:cs="Verdana"/>
          <w:b/>
          <w:bCs/>
          <w:sz w:val="24"/>
          <w:szCs w:val="24"/>
        </w:rPr>
        <w:t xml:space="preserve">s Certificate </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Verdana" w:hAnsi="Verdana" w:cs="Verdana"/>
          <w:sz w:val="24"/>
          <w:szCs w:val="24"/>
        </w:rPr>
        <w:t>The Auditor of the company shall furnish a certificate every year to the effect that the company has complied with all the provisions contained in the Rules and such certificate shall be annexed to the Audit Report and in case of non-compli</w:t>
      </w:r>
      <w:r>
        <w:rPr>
          <w:rFonts w:ascii="Verdana" w:hAnsi="Verdana" w:cs="Verdana"/>
          <w:sz w:val="24"/>
          <w:szCs w:val="24"/>
        </w:rPr>
        <w:t>ance, he shall specifically state the rules which have not been complied with.</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24. Power to enforce compliance</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numPr>
          <w:ilvl w:val="0"/>
          <w:numId w:val="55"/>
        </w:numPr>
        <w:tabs>
          <w:tab w:val="clear" w:pos="720"/>
          <w:tab w:val="num" w:pos="374"/>
        </w:tabs>
        <w:overflowPunct w:val="0"/>
        <w:autoSpaceDE w:val="0"/>
        <w:autoSpaceDN w:val="0"/>
        <w:adjustRightInd w:val="0"/>
        <w:spacing w:after="0" w:line="232" w:lineRule="auto"/>
        <w:ind w:left="0" w:firstLine="0"/>
        <w:jc w:val="both"/>
        <w:rPr>
          <w:rFonts w:ascii="Verdana" w:hAnsi="Verdana" w:cs="Verdana"/>
          <w:sz w:val="24"/>
          <w:szCs w:val="24"/>
        </w:rPr>
      </w:pPr>
      <w:r>
        <w:rPr>
          <w:rFonts w:ascii="Verdana" w:hAnsi="Verdana" w:cs="Verdana"/>
          <w:sz w:val="24"/>
          <w:szCs w:val="24"/>
        </w:rPr>
        <w:t>For the purposes of enforcing compliance with the Rules prescribed under this Chapter, the Registrar of Companies may call for such infor</w:t>
      </w:r>
      <w:r>
        <w:rPr>
          <w:rFonts w:ascii="Verdana" w:hAnsi="Verdana" w:cs="Verdana"/>
          <w:sz w:val="24"/>
          <w:szCs w:val="24"/>
        </w:rPr>
        <w:t xml:space="preserve">mation or returns from the Nidhi as he deems necessary and may engage the services of chartered accountants, company secretaries in practice, cost accountants, or any firm thereof from time to time for assisting him in the discharge of his duties. </w:t>
      </w: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F71">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4D7F71">
      <w:pPr>
        <w:pStyle w:val="DefaultParagraphFont"/>
        <w:widowControl w:val="0"/>
        <w:numPr>
          <w:ilvl w:val="0"/>
          <w:numId w:val="55"/>
        </w:numPr>
        <w:tabs>
          <w:tab w:val="clear" w:pos="720"/>
          <w:tab w:val="num" w:pos="470"/>
        </w:tabs>
        <w:overflowPunct w:val="0"/>
        <w:autoSpaceDE w:val="0"/>
        <w:autoSpaceDN w:val="0"/>
        <w:adjustRightInd w:val="0"/>
        <w:spacing w:after="0" w:line="223" w:lineRule="auto"/>
        <w:ind w:left="0" w:firstLine="0"/>
        <w:jc w:val="both"/>
        <w:rPr>
          <w:rFonts w:ascii="Verdana" w:hAnsi="Verdana" w:cs="Verdana"/>
          <w:sz w:val="24"/>
          <w:szCs w:val="24"/>
        </w:rPr>
      </w:pPr>
      <w:r>
        <w:rPr>
          <w:rFonts w:ascii="Verdana" w:hAnsi="Verdana" w:cs="Verdana"/>
          <w:sz w:val="24"/>
          <w:szCs w:val="24"/>
        </w:rPr>
        <w:t xml:space="preserve">In respect of any Nidhi which has violated these rules or has failed to function in terms of the Memorandum and Articles of Association, the concerned Regional Director may appoint a Special Officer to take over the </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17</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440" w:bottom="452" w:left="10560" w:header="720" w:footer="720" w:gutter="0"/>
          <w:cols w:space="720" w:equalWidth="0">
            <w:col w:w="24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8" w:name="page18"/>
      <w:bookmarkEnd w:id="18"/>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15" w:lineRule="auto"/>
        <w:jc w:val="both"/>
        <w:rPr>
          <w:rFonts w:ascii="Times New Roman" w:hAnsi="Times New Roman" w:cs="Times New Roman"/>
          <w:sz w:val="24"/>
          <w:szCs w:val="24"/>
        </w:rPr>
      </w:pPr>
      <w:r>
        <w:rPr>
          <w:rFonts w:ascii="Verdana" w:hAnsi="Verdana" w:cs="Verdana"/>
          <w:sz w:val="24"/>
          <w:szCs w:val="24"/>
        </w:rPr>
        <w:t>management of the Nidhi and such Special Officer shall function as per the guidelines given by such Regional Director.</w:t>
      </w:r>
    </w:p>
    <w:p w:rsidR="00000000" w:rsidRDefault="004D7F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3" w:lineRule="auto"/>
        <w:ind w:firstLine="578"/>
        <w:jc w:val="both"/>
        <w:rPr>
          <w:rFonts w:ascii="Times New Roman" w:hAnsi="Times New Roman" w:cs="Times New Roman"/>
          <w:sz w:val="24"/>
          <w:szCs w:val="24"/>
        </w:rPr>
      </w:pPr>
      <w:r>
        <w:rPr>
          <w:rFonts w:ascii="Verdana" w:hAnsi="Verdana" w:cs="Verdana"/>
          <w:sz w:val="24"/>
          <w:szCs w:val="24"/>
        </w:rPr>
        <w:t>Provided that an oppo</w:t>
      </w:r>
      <w:r>
        <w:rPr>
          <w:rFonts w:ascii="Verdana" w:hAnsi="Verdana" w:cs="Verdana"/>
          <w:sz w:val="24"/>
          <w:szCs w:val="24"/>
        </w:rPr>
        <w:t>rtunity of being heard shall be given to the concerned Nidhi by the Regional Director before appointing any Special Officer.</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25. Penalty for non-compliance</w:t>
      </w:r>
    </w:p>
    <w:p w:rsidR="00000000" w:rsidRDefault="004D7F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4D7F71">
      <w:pPr>
        <w:pStyle w:val="DefaultParagraphFont"/>
        <w:widowControl w:val="0"/>
        <w:overflowPunct w:val="0"/>
        <w:autoSpaceDE w:val="0"/>
        <w:autoSpaceDN w:val="0"/>
        <w:adjustRightInd w:val="0"/>
        <w:spacing w:after="0" w:line="228" w:lineRule="auto"/>
        <w:jc w:val="both"/>
        <w:rPr>
          <w:rFonts w:ascii="Times New Roman" w:hAnsi="Times New Roman" w:cs="Times New Roman"/>
          <w:sz w:val="24"/>
          <w:szCs w:val="24"/>
        </w:rPr>
      </w:pPr>
      <w:r>
        <w:rPr>
          <w:rFonts w:ascii="Verdana" w:hAnsi="Verdana" w:cs="Verdana"/>
          <w:sz w:val="24"/>
          <w:szCs w:val="24"/>
        </w:rPr>
        <w:t>If a company falling under rule 3 contravenes any of the provisions of the rules prescribed herei</w:t>
      </w:r>
      <w:r>
        <w:rPr>
          <w:rFonts w:ascii="Verdana" w:hAnsi="Verdana" w:cs="Verdana"/>
          <w:sz w:val="24"/>
          <w:szCs w:val="24"/>
        </w:rPr>
        <w:t>n, the company and every officer of the company who is in default shall be punishable in the manner provided in section 450 of the Act.</w:t>
      </w: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ind w:left="4080"/>
        <w:rPr>
          <w:rFonts w:ascii="Times New Roman" w:hAnsi="Times New Roman" w:cs="Times New Roman"/>
          <w:sz w:val="24"/>
          <w:szCs w:val="24"/>
        </w:rPr>
      </w:pPr>
      <w:r>
        <w:rPr>
          <w:rFonts w:ascii="Verdana" w:hAnsi="Verdana" w:cs="Verdana"/>
          <w:sz w:val="24"/>
          <w:szCs w:val="24"/>
        </w:rPr>
        <w:t>******</w:t>
      </w: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452" w:left="1440" w:header="720" w:footer="720" w:gutter="0"/>
          <w:cols w:space="720" w:equalWidth="0">
            <w:col w:w="9360"/>
          </w:cols>
          <w:noEndnote/>
        </w:sect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4D7F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18</w:t>
      </w:r>
    </w:p>
    <w:sectPr w:rsidR="00000000">
      <w:type w:val="continuous"/>
      <w:pgSz w:w="12240" w:h="15840"/>
      <w:pgMar w:top="1440" w:right="1440" w:bottom="452" w:left="10560" w:header="720" w:footer="720" w:gutter="0"/>
      <w:cols w:space="720" w:equalWidth="0">
        <w:col w:w="2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lowerRoman"/>
      <w:lvlText w:val="%1"/>
      <w:lvlJc w:val="left"/>
      <w:pPr>
        <w:tabs>
          <w:tab w:val="num" w:pos="720"/>
        </w:tabs>
        <w:ind w:left="720" w:hanging="360"/>
      </w:pPr>
    </w:lvl>
    <w:lvl w:ilvl="1" w:tplc="0000491C">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47E"/>
    <w:multiLevelType w:val="hybridMultilevel"/>
    <w:tmpl w:val="0000422D"/>
    <w:lvl w:ilvl="0" w:tplc="000054DC">
      <w:start w:val="2"/>
      <w:numFmt w:val="lowerLetter"/>
      <w:lvlText w:val="(%1)"/>
      <w:lvlJc w:val="left"/>
      <w:pPr>
        <w:tabs>
          <w:tab w:val="num" w:pos="720"/>
        </w:tabs>
        <w:ind w:left="720" w:hanging="360"/>
      </w:pPr>
    </w:lvl>
    <w:lvl w:ilvl="1" w:tplc="0000368E">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D66"/>
    <w:multiLevelType w:val="hybridMultilevel"/>
    <w:tmpl w:val="00007983"/>
    <w:lvl w:ilvl="0" w:tplc="000075EF">
      <w:start w:val="9"/>
      <w:numFmt w:val="lowerLetter"/>
      <w:lvlText w:val="(%1)"/>
      <w:lvlJc w:val="left"/>
      <w:pPr>
        <w:tabs>
          <w:tab w:val="num" w:pos="720"/>
        </w:tabs>
        <w:ind w:left="720" w:hanging="360"/>
      </w:pPr>
    </w:lvl>
    <w:lvl w:ilvl="1" w:tplc="00004657">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DDC"/>
    <w:multiLevelType w:val="hybridMultilevel"/>
    <w:tmpl w:val="00004CAD"/>
    <w:lvl w:ilvl="0" w:tplc="0000314F">
      <w:start w:val="1"/>
      <w:numFmt w:val="lowerLetter"/>
      <w:lvlText w:val="%1"/>
      <w:lvlJc w:val="left"/>
      <w:pPr>
        <w:tabs>
          <w:tab w:val="num" w:pos="720"/>
        </w:tabs>
        <w:ind w:left="720" w:hanging="360"/>
      </w:pPr>
    </w:lvl>
    <w:lvl w:ilvl="1" w:tplc="00005E14">
      <w:start w:val="11"/>
      <w:numFmt w:val="lowerLetter"/>
      <w:lvlText w:val="(%2)"/>
      <w:lvlJc w:val="left"/>
      <w:pPr>
        <w:tabs>
          <w:tab w:val="num" w:pos="1440"/>
        </w:tabs>
        <w:ind w:left="1440" w:hanging="360"/>
      </w:pPr>
    </w:lvl>
    <w:lvl w:ilvl="2" w:tplc="00004DF2">
      <w:start w:val="1"/>
      <w:numFmt w:val="lowerRoman"/>
      <w:lvlText w:val="%3"/>
      <w:lvlJc w:val="left"/>
      <w:pPr>
        <w:tabs>
          <w:tab w:val="num" w:pos="2160"/>
        </w:tabs>
        <w:ind w:left="2160" w:hanging="360"/>
      </w:pPr>
    </w:lvl>
    <w:lvl w:ilvl="3" w:tplc="00004944">
      <w:start w:val="1"/>
      <w:numFmt w:val="lowerRoman"/>
      <w:lvlText w:val="%4"/>
      <w:lvlJc w:val="left"/>
      <w:pPr>
        <w:tabs>
          <w:tab w:val="num" w:pos="2880"/>
        </w:tabs>
        <w:ind w:left="2880" w:hanging="360"/>
      </w:pPr>
    </w:lvl>
    <w:lvl w:ilvl="4" w:tplc="00002E40">
      <w:start w:val="1"/>
      <w:numFmt w:val="lowerRoman"/>
      <w:lvlText w:val="%5"/>
      <w:lvlJc w:val="left"/>
      <w:pPr>
        <w:tabs>
          <w:tab w:val="num" w:pos="3600"/>
        </w:tabs>
        <w:ind w:left="3600" w:hanging="360"/>
      </w:pPr>
    </w:lvl>
    <w:lvl w:ilvl="5" w:tplc="00001366">
      <w:start w:val="1"/>
      <w:numFmt w:val="lowerLetter"/>
      <w:lvlText w:val="%6"/>
      <w:lvlJc w:val="left"/>
      <w:pPr>
        <w:tabs>
          <w:tab w:val="num" w:pos="4320"/>
        </w:tabs>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E12"/>
    <w:multiLevelType w:val="hybridMultilevel"/>
    <w:tmpl w:val="00005F1E"/>
    <w:lvl w:ilvl="0" w:tplc="00002833">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1F4"/>
    <w:multiLevelType w:val="hybridMultilevel"/>
    <w:tmpl w:val="00005DD5"/>
    <w:lvl w:ilvl="0" w:tplc="00006AD4">
      <w:start w:val="1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21F"/>
    <w:multiLevelType w:val="hybridMultilevel"/>
    <w:tmpl w:val="000073DA"/>
    <w:lvl w:ilvl="0" w:tplc="000058B0">
      <w:start w:val="1"/>
      <w:numFmt w:val="lowerLetter"/>
      <w:lvlText w:val="%1"/>
      <w:lvlJc w:val="left"/>
      <w:pPr>
        <w:tabs>
          <w:tab w:val="num" w:pos="720"/>
        </w:tabs>
        <w:ind w:left="720" w:hanging="360"/>
      </w:pPr>
    </w:lvl>
    <w:lvl w:ilvl="1" w:tplc="000026CA">
      <w:start w:val="1"/>
      <w:numFmt w:val="lowerLetter"/>
      <w:lvlText w:val="%2"/>
      <w:lvlJc w:val="left"/>
      <w:pPr>
        <w:tabs>
          <w:tab w:val="num" w:pos="1440"/>
        </w:tabs>
        <w:ind w:left="1440" w:hanging="360"/>
      </w:pPr>
    </w:lvl>
    <w:lvl w:ilvl="2" w:tplc="00003699">
      <w:start w:val="1"/>
      <w:numFmt w:val="lowerLetter"/>
      <w:lvlText w:val="%3"/>
      <w:lvlJc w:val="left"/>
      <w:pPr>
        <w:tabs>
          <w:tab w:val="num" w:pos="2160"/>
        </w:tabs>
        <w:ind w:left="2160" w:hanging="360"/>
      </w:pPr>
    </w:lvl>
    <w:lvl w:ilvl="3" w:tplc="00000902">
      <w:start w:val="13"/>
      <w:numFmt w:val="lowerLetter"/>
      <w:lvlText w:val="(%4)"/>
      <w:lvlJc w:val="left"/>
      <w:pPr>
        <w:tabs>
          <w:tab w:val="num" w:pos="2880"/>
        </w:tabs>
        <w:ind w:left="2880" w:hanging="360"/>
      </w:pPr>
    </w:lvl>
    <w:lvl w:ilvl="4" w:tplc="00007BB9">
      <w:start w:val="1"/>
      <w:numFmt w:val="lowerRoman"/>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238"/>
    <w:multiLevelType w:val="hybridMultilevel"/>
    <w:tmpl w:val="00003B25"/>
    <w:lvl w:ilvl="0" w:tplc="00001E1F">
      <w:start w:val="8"/>
      <w:numFmt w:val="decimal"/>
      <w:lvlText w:val="%1."/>
      <w:lvlJc w:val="left"/>
      <w:pPr>
        <w:tabs>
          <w:tab w:val="num" w:pos="720"/>
        </w:tabs>
        <w:ind w:left="720" w:hanging="360"/>
      </w:pPr>
    </w:lvl>
    <w:lvl w:ilvl="1" w:tplc="00006E5D">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27E"/>
    <w:multiLevelType w:val="hybridMultilevel"/>
    <w:tmpl w:val="00000035"/>
    <w:lvl w:ilvl="0" w:tplc="000007CF">
      <w:start w:val="20"/>
      <w:numFmt w:val="decimal"/>
      <w:lvlText w:val="%1."/>
      <w:lvlJc w:val="left"/>
      <w:pPr>
        <w:tabs>
          <w:tab w:val="num" w:pos="720"/>
        </w:tabs>
        <w:ind w:left="720" w:hanging="360"/>
      </w:pPr>
    </w:lvl>
    <w:lvl w:ilvl="1" w:tplc="0000673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12DB"/>
    <w:multiLevelType w:val="hybridMultilevel"/>
    <w:tmpl w:val="0000153C"/>
    <w:lvl w:ilvl="0" w:tplc="00007E87">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649"/>
    <w:multiLevelType w:val="hybridMultilevel"/>
    <w:tmpl w:val="00006DF1"/>
    <w:lvl w:ilvl="0" w:tplc="00005AF1">
      <w:start w:val="1"/>
      <w:numFmt w:val="lowerRoman"/>
      <w:lvlText w:val="%1"/>
      <w:lvlJc w:val="left"/>
      <w:pPr>
        <w:tabs>
          <w:tab w:val="num" w:pos="720"/>
        </w:tabs>
        <w:ind w:left="720" w:hanging="360"/>
      </w:pPr>
    </w:lvl>
    <w:lvl w:ilvl="1" w:tplc="000041B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8D7"/>
    <w:multiLevelType w:val="hybridMultilevel"/>
    <w:tmpl w:val="00006BE8"/>
    <w:lvl w:ilvl="0" w:tplc="00005039">
      <w:start w:val="1"/>
      <w:numFmt w:val="lowerRoman"/>
      <w:lvlText w:val="(%1)"/>
      <w:lvlJc w:val="left"/>
      <w:pPr>
        <w:tabs>
          <w:tab w:val="num" w:pos="720"/>
        </w:tabs>
        <w:ind w:left="720" w:hanging="360"/>
      </w:pPr>
    </w:lvl>
    <w:lvl w:ilvl="1" w:tplc="0000542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1916"/>
    <w:multiLevelType w:val="hybridMultilevel"/>
    <w:tmpl w:val="00006172"/>
    <w:lvl w:ilvl="0" w:tplc="00006B72">
      <w:start w:val="1"/>
      <w:numFmt w:val="lowerRoman"/>
      <w:lvlText w:val="(%1)"/>
      <w:lvlJc w:val="left"/>
      <w:pPr>
        <w:tabs>
          <w:tab w:val="num" w:pos="720"/>
        </w:tabs>
        <w:ind w:left="720" w:hanging="360"/>
      </w:pPr>
    </w:lvl>
    <w:lvl w:ilvl="1" w:tplc="000032E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1953"/>
    <w:multiLevelType w:val="hybridMultilevel"/>
    <w:tmpl w:val="00006BCB"/>
    <w:lvl w:ilvl="0" w:tplc="00000FC9">
      <w:start w:val="1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A49"/>
    <w:multiLevelType w:val="hybridMultilevel"/>
    <w:tmpl w:val="00005F32"/>
    <w:lvl w:ilvl="0" w:tplc="00003BF6">
      <w:start w:val="1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AD4"/>
    <w:multiLevelType w:val="hybridMultilevel"/>
    <w:tmpl w:val="000063CB"/>
    <w:lvl w:ilvl="0" w:tplc="00006BFC">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CD0"/>
    <w:multiLevelType w:val="hybridMultilevel"/>
    <w:tmpl w:val="0000366B"/>
    <w:lvl w:ilvl="0" w:tplc="000066C4">
      <w:start w:val="12"/>
      <w:numFmt w:val="lowerLetter"/>
      <w:lvlText w:val="(%1)"/>
      <w:lvlJc w:val="left"/>
      <w:pPr>
        <w:tabs>
          <w:tab w:val="num" w:pos="720"/>
        </w:tabs>
        <w:ind w:left="720" w:hanging="360"/>
      </w:pPr>
    </w:lvl>
    <w:lvl w:ilvl="1" w:tplc="00004230">
      <w:start w:val="1"/>
      <w:numFmt w:val="lowerLetter"/>
      <w:lvlText w:val="%2"/>
      <w:lvlJc w:val="left"/>
      <w:pPr>
        <w:tabs>
          <w:tab w:val="num" w:pos="1440"/>
        </w:tabs>
        <w:ind w:left="1440" w:hanging="360"/>
      </w:pPr>
    </w:lvl>
    <w:lvl w:ilvl="2" w:tplc="00007EB7">
      <w:start w:val="1"/>
      <w:numFmt w:val="lowerRoman"/>
      <w:lvlText w:val="(%3)"/>
      <w:lvlJc w:val="left"/>
      <w:pPr>
        <w:tabs>
          <w:tab w:val="num" w:pos="2160"/>
        </w:tabs>
        <w:ind w:left="2160" w:hanging="360"/>
      </w:pPr>
    </w:lvl>
    <w:lvl w:ilvl="3" w:tplc="00006032">
      <w:start w:val="6"/>
      <w:numFmt w:val="lowerRoman"/>
      <w:lvlText w:val="(%4)"/>
      <w:lvlJc w:val="left"/>
      <w:pPr>
        <w:tabs>
          <w:tab w:val="num" w:pos="2880"/>
        </w:tabs>
        <w:ind w:left="2880" w:hanging="360"/>
      </w:pPr>
    </w:lvl>
    <w:lvl w:ilvl="4" w:tplc="00002C3B">
      <w:start w:val="5"/>
      <w:numFmt w:val="lowerRoman"/>
      <w:lvlText w:val="(%5)"/>
      <w:lvlJc w:val="left"/>
      <w:pPr>
        <w:tabs>
          <w:tab w:val="num" w:pos="3600"/>
        </w:tabs>
        <w:ind w:left="3600" w:hanging="360"/>
      </w:pPr>
    </w:lvl>
    <w:lvl w:ilvl="5" w:tplc="000015A1">
      <w:start w:val="1"/>
      <w:numFmt w:val="lowerLetter"/>
      <w:lvlText w:val="(%6)"/>
      <w:lvlJc w:val="left"/>
      <w:pPr>
        <w:tabs>
          <w:tab w:val="num" w:pos="4320"/>
        </w:tabs>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22EE"/>
    <w:multiLevelType w:val="hybridMultilevel"/>
    <w:tmpl w:val="00004B40"/>
    <w:lvl w:ilvl="0" w:tplc="00005878">
      <w:start w:val="1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26E9"/>
    <w:multiLevelType w:val="hybridMultilevel"/>
    <w:tmpl w:val="000001EB"/>
    <w:lvl w:ilvl="0" w:tplc="00000BB3">
      <w:start w:val="7"/>
      <w:numFmt w:val="lowerRoman"/>
      <w:lvlText w:val="(%1)"/>
      <w:lvlJc w:val="left"/>
      <w:pPr>
        <w:tabs>
          <w:tab w:val="num" w:pos="720"/>
        </w:tabs>
        <w:ind w:left="720" w:hanging="360"/>
      </w:p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288F"/>
    <w:multiLevelType w:val="hybridMultilevel"/>
    <w:tmpl w:val="00003A61"/>
    <w:lvl w:ilvl="0" w:tplc="000022CD">
      <w:start w:val="4"/>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2C49"/>
    <w:multiLevelType w:val="hybridMultilevel"/>
    <w:tmpl w:val="00003C61"/>
    <w:lvl w:ilvl="0" w:tplc="00002FFF">
      <w:start w:val="35"/>
      <w:numFmt w:val="lowerLetter"/>
      <w:lvlText w:val="(%1)"/>
      <w:lvlJc w:val="left"/>
      <w:pPr>
        <w:tabs>
          <w:tab w:val="num" w:pos="720"/>
        </w:tabs>
        <w:ind w:left="720" w:hanging="360"/>
      </w:pPr>
    </w:lvl>
    <w:lvl w:ilvl="1" w:tplc="00006C6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323B"/>
    <w:multiLevelType w:val="hybridMultilevel"/>
    <w:tmpl w:val="00002213"/>
    <w:lvl w:ilvl="0" w:tplc="0000260D">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39B3"/>
    <w:multiLevelType w:val="hybridMultilevel"/>
    <w:tmpl w:val="00002D12"/>
    <w:lvl w:ilvl="0" w:tplc="0000074D">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3A2D"/>
    <w:multiLevelType w:val="hybridMultilevel"/>
    <w:tmpl w:val="00006048"/>
    <w:lvl w:ilvl="0" w:tplc="000057D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3A9E"/>
    <w:multiLevelType w:val="hybridMultilevel"/>
    <w:tmpl w:val="0000797D"/>
    <w:lvl w:ilvl="0" w:tplc="00005F4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3CD6"/>
    <w:multiLevelType w:val="hybridMultilevel"/>
    <w:tmpl w:val="00000FBF"/>
    <w:lvl w:ilvl="0" w:tplc="00002F14">
      <w:start w:val="61"/>
      <w:numFmt w:val="lowerLetter"/>
      <w:lvlText w:val="(%1)"/>
      <w:lvlJc w:val="left"/>
      <w:pPr>
        <w:tabs>
          <w:tab w:val="num" w:pos="720"/>
        </w:tabs>
        <w:ind w:left="720" w:hanging="360"/>
      </w:pPr>
    </w:lvl>
    <w:lvl w:ilvl="1" w:tplc="00006AD6">
      <w:start w:val="4"/>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401D"/>
    <w:multiLevelType w:val="hybridMultilevel"/>
    <w:tmpl w:val="000071F0"/>
    <w:lvl w:ilvl="0" w:tplc="00000384">
      <w:start w:val="3"/>
      <w:numFmt w:val="lowerRoman"/>
      <w:lvlText w:val="(%1)"/>
      <w:lvlJc w:val="left"/>
      <w:pPr>
        <w:tabs>
          <w:tab w:val="num" w:pos="720"/>
        </w:tabs>
        <w:ind w:left="720" w:hanging="360"/>
      </w:pPr>
    </w:lvl>
    <w:lvl w:ilvl="1" w:tplc="00007F4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4080"/>
    <w:multiLevelType w:val="hybridMultilevel"/>
    <w:tmpl w:val="00005DB2"/>
    <w:lvl w:ilvl="0" w:tplc="000033EA">
      <w:start w:val="9"/>
      <w:numFmt w:val="lowerLetter"/>
      <w:lvlText w:val="(%1)"/>
      <w:lvlJc w:val="left"/>
      <w:pPr>
        <w:tabs>
          <w:tab w:val="num" w:pos="720"/>
        </w:tabs>
        <w:ind w:left="720" w:hanging="360"/>
      </w:pPr>
    </w:lvl>
    <w:lvl w:ilvl="1" w:tplc="000023C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4087"/>
    <w:multiLevelType w:val="hybridMultilevel"/>
    <w:tmpl w:val="00007B44"/>
    <w:lvl w:ilvl="0" w:tplc="0000590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428B"/>
    <w:multiLevelType w:val="hybridMultilevel"/>
    <w:tmpl w:val="000026A6"/>
    <w:lvl w:ilvl="0" w:tplc="0000701F">
      <w:start w:val="6"/>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458F"/>
    <w:multiLevelType w:val="hybridMultilevel"/>
    <w:tmpl w:val="00000975"/>
    <w:lvl w:ilvl="0" w:tplc="000037E6">
      <w:start w:val="7"/>
      <w:numFmt w:val="decimal"/>
      <w:lvlText w:val="(%1)"/>
      <w:lvlJc w:val="left"/>
      <w:pPr>
        <w:tabs>
          <w:tab w:val="num" w:pos="720"/>
        </w:tabs>
        <w:ind w:left="720" w:hanging="360"/>
      </w:pPr>
    </w:lvl>
    <w:lvl w:ilvl="1" w:tplc="000019D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46CF"/>
    <w:multiLevelType w:val="hybridMultilevel"/>
    <w:tmpl w:val="000001D3"/>
    <w:lvl w:ilvl="0" w:tplc="00000E90">
      <w:start w:val="2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48CC"/>
    <w:multiLevelType w:val="hybridMultilevel"/>
    <w:tmpl w:val="00005753"/>
    <w:lvl w:ilvl="0" w:tplc="000060BF">
      <w:start w:val="35"/>
      <w:numFmt w:val="lowerLetter"/>
      <w:lvlText w:val="(%1)"/>
      <w:lvlJc w:val="left"/>
      <w:pPr>
        <w:tabs>
          <w:tab w:val="num" w:pos="720"/>
        </w:tabs>
        <w:ind w:left="720" w:hanging="360"/>
      </w:pPr>
    </w:lvl>
    <w:lvl w:ilvl="1" w:tplc="00005C67">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494A"/>
    <w:multiLevelType w:val="hybridMultilevel"/>
    <w:tmpl w:val="00000677"/>
    <w:lvl w:ilvl="0" w:tplc="00004402">
      <w:start w:val="1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49F7"/>
    <w:multiLevelType w:val="hybridMultilevel"/>
    <w:tmpl w:val="0000442B"/>
    <w:lvl w:ilvl="0" w:tplc="00005078">
      <w:start w:val="22"/>
      <w:numFmt w:val="decimal"/>
      <w:lvlText w:val="%1."/>
      <w:lvlJc w:val="left"/>
      <w:pPr>
        <w:tabs>
          <w:tab w:val="num" w:pos="720"/>
        </w:tabs>
        <w:ind w:left="720" w:hanging="360"/>
      </w:pPr>
    </w:lvl>
    <w:lvl w:ilvl="1" w:tplc="0000148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4AE1"/>
    <w:multiLevelType w:val="hybridMultilevel"/>
    <w:tmpl w:val="00003D6C"/>
    <w:lvl w:ilvl="0" w:tplc="00002CD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4D06"/>
    <w:multiLevelType w:val="hybridMultilevel"/>
    <w:tmpl w:val="00004DB7"/>
    <w:lvl w:ilvl="0" w:tplc="00001547">
      <w:start w:val="2"/>
      <w:numFmt w:val="lowerRoman"/>
      <w:lvlText w:val="(%1)"/>
      <w:lvlJc w:val="left"/>
      <w:pPr>
        <w:tabs>
          <w:tab w:val="num" w:pos="720"/>
        </w:tabs>
        <w:ind w:left="720" w:hanging="360"/>
      </w:pPr>
    </w:lvl>
    <w:lvl w:ilvl="1" w:tplc="000054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4DC8"/>
    <w:multiLevelType w:val="hybridMultilevel"/>
    <w:tmpl w:val="00006443"/>
    <w:lvl w:ilvl="0" w:tplc="000066BB">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5422"/>
    <w:multiLevelType w:val="hybridMultilevel"/>
    <w:tmpl w:val="00003EF6"/>
    <w:lvl w:ilvl="0" w:tplc="00000822">
      <w:start w:val="1"/>
      <w:numFmt w:val="lowerLetter"/>
      <w:lvlText w:val="%1"/>
      <w:lvlJc w:val="left"/>
      <w:pPr>
        <w:tabs>
          <w:tab w:val="num" w:pos="720"/>
        </w:tabs>
        <w:ind w:left="720" w:hanging="360"/>
      </w:pPr>
    </w:lvl>
    <w:lvl w:ilvl="1" w:tplc="00005991">
      <w:start w:val="1"/>
      <w:numFmt w:val="lowerLetter"/>
      <w:lvlText w:val="%2"/>
      <w:lvlJc w:val="left"/>
      <w:pPr>
        <w:tabs>
          <w:tab w:val="num" w:pos="1440"/>
        </w:tabs>
        <w:ind w:left="1440" w:hanging="360"/>
      </w:pPr>
    </w:lvl>
    <w:lvl w:ilvl="2" w:tplc="0000409D">
      <w:start w:val="1"/>
      <w:numFmt w:val="lowerLetter"/>
      <w:lvlText w:val="%3"/>
      <w:lvlJc w:val="left"/>
      <w:pPr>
        <w:tabs>
          <w:tab w:val="num" w:pos="2160"/>
        </w:tabs>
        <w:ind w:left="2160" w:hanging="360"/>
      </w:pPr>
    </w:lvl>
    <w:lvl w:ilvl="3" w:tplc="000012E1">
      <w:start w:val="1"/>
      <w:numFmt w:val="lowerLetter"/>
      <w:lvlText w:val="%4"/>
      <w:lvlJc w:val="left"/>
      <w:pPr>
        <w:tabs>
          <w:tab w:val="num" w:pos="2880"/>
        </w:tabs>
        <w:ind w:left="2880" w:hanging="360"/>
      </w:pPr>
    </w:lvl>
    <w:lvl w:ilvl="4" w:tplc="0000798B">
      <w:start w:val="9"/>
      <w:numFmt w:val="lowerRoman"/>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5772"/>
    <w:multiLevelType w:val="hybridMultilevel"/>
    <w:tmpl w:val="0000139D"/>
    <w:lvl w:ilvl="0" w:tplc="00007049">
      <w:start w:val="35"/>
      <w:numFmt w:val="lowerLetter"/>
      <w:lvlText w:val="(%1)"/>
      <w:lvlJc w:val="left"/>
      <w:pPr>
        <w:tabs>
          <w:tab w:val="num" w:pos="720"/>
        </w:tabs>
        <w:ind w:left="720" w:hanging="360"/>
      </w:pPr>
    </w:lvl>
    <w:lvl w:ilvl="1" w:tplc="0000692C">
      <w:start w:val="1"/>
      <w:numFmt w:val="lowerLetter"/>
      <w:lvlText w:val="(%2)"/>
      <w:lvlJc w:val="left"/>
      <w:pPr>
        <w:tabs>
          <w:tab w:val="num" w:pos="1440"/>
        </w:tabs>
        <w:ind w:left="1440" w:hanging="360"/>
      </w:pPr>
    </w:lvl>
    <w:lvl w:ilvl="2" w:tplc="00004A80">
      <w:start w:val="1"/>
      <w:numFmt w:val="lowerLetter"/>
      <w:lvlText w:val="(%3)"/>
      <w:lvlJc w:val="left"/>
      <w:pPr>
        <w:tabs>
          <w:tab w:val="num" w:pos="2160"/>
        </w:tabs>
        <w:ind w:left="2160" w:hanging="360"/>
      </w:pPr>
    </w:lvl>
    <w:lvl w:ilvl="3" w:tplc="0000187E">
      <w:start w:val="1"/>
      <w:numFmt w:val="lowerLetter"/>
      <w:lvlText w:val="%4"/>
      <w:lvlJc w:val="left"/>
      <w:pPr>
        <w:tabs>
          <w:tab w:val="num" w:pos="2880"/>
        </w:tabs>
        <w:ind w:left="2880" w:hanging="360"/>
      </w:pPr>
    </w:lvl>
    <w:lvl w:ilvl="4" w:tplc="000016C5">
      <w:start w:val="1"/>
      <w:numFmt w:val="lowerRoman"/>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591D"/>
    <w:multiLevelType w:val="hybridMultilevel"/>
    <w:tmpl w:val="0000252A"/>
    <w:lvl w:ilvl="0" w:tplc="000037E5">
      <w:start w:val="1"/>
      <w:numFmt w:val="decimal"/>
      <w:lvlText w:val="%1"/>
      <w:lvlJc w:val="left"/>
      <w:pPr>
        <w:tabs>
          <w:tab w:val="num" w:pos="720"/>
        </w:tabs>
        <w:ind w:left="720" w:hanging="360"/>
      </w:pPr>
    </w:lvl>
    <w:lvl w:ilvl="1" w:tplc="00001DC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5A9F"/>
    <w:multiLevelType w:val="hybridMultilevel"/>
    <w:tmpl w:val="00004CD4"/>
    <w:lvl w:ilvl="0" w:tplc="00005FA4">
      <w:start w:val="1"/>
      <w:numFmt w:val="decimal"/>
      <w:lvlText w:val="%1"/>
      <w:lvlJc w:val="left"/>
      <w:pPr>
        <w:tabs>
          <w:tab w:val="num" w:pos="720"/>
        </w:tabs>
        <w:ind w:left="720" w:hanging="360"/>
      </w:pPr>
    </w:lvl>
    <w:lvl w:ilvl="1" w:tplc="0000205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5D03"/>
    <w:multiLevelType w:val="hybridMultilevel"/>
    <w:tmpl w:val="00007A5A"/>
    <w:lvl w:ilvl="0" w:tplc="0000767D">
      <w:start w:val="1"/>
      <w:numFmt w:val="decimal"/>
      <w:lvlText w:val="%1"/>
      <w:lvlJc w:val="left"/>
      <w:pPr>
        <w:tabs>
          <w:tab w:val="num" w:pos="720"/>
        </w:tabs>
        <w:ind w:left="720" w:hanging="360"/>
      </w:pPr>
    </w:lvl>
    <w:lvl w:ilvl="1" w:tplc="00004509">
      <w:start w:val="1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6899"/>
    <w:multiLevelType w:val="hybridMultilevel"/>
    <w:tmpl w:val="00003CD5"/>
    <w:lvl w:ilvl="0" w:tplc="000013E9">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6B36"/>
    <w:multiLevelType w:val="hybridMultilevel"/>
    <w:tmpl w:val="00005CFD"/>
    <w:lvl w:ilvl="0" w:tplc="00003E1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6B89"/>
    <w:multiLevelType w:val="hybridMultilevel"/>
    <w:tmpl w:val="0000030A"/>
    <w:lvl w:ilvl="0" w:tplc="0000301C">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6D22"/>
    <w:multiLevelType w:val="hybridMultilevel"/>
    <w:tmpl w:val="00001AF4"/>
    <w:lvl w:ilvl="0" w:tplc="00000ECC">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72AE"/>
    <w:multiLevelType w:val="hybridMultilevel"/>
    <w:tmpl w:val="00006952"/>
    <w:lvl w:ilvl="0" w:tplc="00005F90">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7874"/>
    <w:multiLevelType w:val="hybridMultilevel"/>
    <w:tmpl w:val="0000249E"/>
    <w:lvl w:ilvl="0" w:tplc="00002B0C">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7DD1"/>
    <w:multiLevelType w:val="hybridMultilevel"/>
    <w:tmpl w:val="0000261E"/>
    <w:lvl w:ilvl="0" w:tplc="00005E9D">
      <w:start w:val="1"/>
      <w:numFmt w:val="lowerRoman"/>
      <w:lvlText w:val="%1"/>
      <w:lvlJc w:val="left"/>
      <w:pPr>
        <w:tabs>
          <w:tab w:val="num" w:pos="720"/>
        </w:tabs>
        <w:ind w:left="720" w:hanging="360"/>
      </w:pPr>
    </w:lvl>
    <w:lvl w:ilvl="1" w:tplc="0000489C">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7F96"/>
    <w:multiLevelType w:val="hybridMultilevel"/>
    <w:tmpl w:val="00007FF5"/>
    <w:lvl w:ilvl="0" w:tplc="00004E45">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9"/>
  </w:num>
  <w:num w:numId="3">
    <w:abstractNumId w:val="51"/>
  </w:num>
  <w:num w:numId="4">
    <w:abstractNumId w:val="13"/>
  </w:num>
  <w:num w:numId="5">
    <w:abstractNumId w:val="21"/>
  </w:num>
  <w:num w:numId="6">
    <w:abstractNumId w:val="12"/>
  </w:num>
  <w:num w:numId="7">
    <w:abstractNumId w:val="25"/>
  </w:num>
  <w:num w:numId="8">
    <w:abstractNumId w:val="2"/>
  </w:num>
  <w:num w:numId="9">
    <w:abstractNumId w:val="40"/>
  </w:num>
  <w:num w:numId="10">
    <w:abstractNumId w:val="26"/>
  </w:num>
  <w:num w:numId="11">
    <w:abstractNumId w:val="41"/>
  </w:num>
  <w:num w:numId="12">
    <w:abstractNumId w:val="33"/>
  </w:num>
  <w:num w:numId="13">
    <w:abstractNumId w:val="46"/>
  </w:num>
  <w:num w:numId="14">
    <w:abstractNumId w:val="10"/>
  </w:num>
  <w:num w:numId="15">
    <w:abstractNumId w:val="18"/>
  </w:num>
  <w:num w:numId="16">
    <w:abstractNumId w:val="54"/>
  </w:num>
  <w:num w:numId="17">
    <w:abstractNumId w:val="24"/>
  </w:num>
  <w:num w:numId="18">
    <w:abstractNumId w:val="49"/>
  </w:num>
  <w:num w:numId="19">
    <w:abstractNumId w:val="4"/>
  </w:num>
  <w:num w:numId="20">
    <w:abstractNumId w:val="1"/>
  </w:num>
  <w:num w:numId="21">
    <w:abstractNumId w:val="20"/>
  </w:num>
  <w:num w:numId="22">
    <w:abstractNumId w:val="48"/>
  </w:num>
  <w:num w:numId="23">
    <w:abstractNumId w:val="17"/>
  </w:num>
  <w:num w:numId="24">
    <w:abstractNumId w:val="28"/>
  </w:num>
  <w:num w:numId="25">
    <w:abstractNumId w:val="6"/>
  </w:num>
  <w:num w:numId="26">
    <w:abstractNumId w:val="19"/>
  </w:num>
  <w:num w:numId="27">
    <w:abstractNumId w:val="42"/>
  </w:num>
  <w:num w:numId="28">
    <w:abstractNumId w:val="9"/>
  </w:num>
  <w:num w:numId="29">
    <w:abstractNumId w:val="43"/>
  </w:num>
  <w:num w:numId="30">
    <w:abstractNumId w:val="47"/>
  </w:num>
  <w:num w:numId="31">
    <w:abstractNumId w:val="31"/>
  </w:num>
  <w:num w:numId="32">
    <w:abstractNumId w:val="36"/>
  </w:num>
  <w:num w:numId="33">
    <w:abstractNumId w:val="29"/>
  </w:num>
  <w:num w:numId="34">
    <w:abstractNumId w:val="3"/>
  </w:num>
  <w:num w:numId="35">
    <w:abstractNumId w:val="5"/>
  </w:num>
  <w:num w:numId="36">
    <w:abstractNumId w:val="23"/>
  </w:num>
  <w:num w:numId="37">
    <w:abstractNumId w:val="22"/>
  </w:num>
  <w:num w:numId="38">
    <w:abstractNumId w:val="53"/>
  </w:num>
  <w:num w:numId="39">
    <w:abstractNumId w:val="15"/>
  </w:num>
  <w:num w:numId="40">
    <w:abstractNumId w:val="30"/>
  </w:num>
  <w:num w:numId="41">
    <w:abstractNumId w:val="37"/>
  </w:num>
  <w:num w:numId="42">
    <w:abstractNumId w:val="14"/>
  </w:num>
  <w:num w:numId="43">
    <w:abstractNumId w:val="16"/>
  </w:num>
  <w:num w:numId="44">
    <w:abstractNumId w:val="7"/>
  </w:num>
  <w:num w:numId="45">
    <w:abstractNumId w:val="52"/>
  </w:num>
  <w:num w:numId="46">
    <w:abstractNumId w:val="8"/>
  </w:num>
  <w:num w:numId="47">
    <w:abstractNumId w:val="45"/>
  </w:num>
  <w:num w:numId="48">
    <w:abstractNumId w:val="11"/>
  </w:num>
  <w:num w:numId="49">
    <w:abstractNumId w:val="50"/>
  </w:num>
  <w:num w:numId="50">
    <w:abstractNumId w:val="35"/>
  </w:num>
  <w:num w:numId="51">
    <w:abstractNumId w:val="27"/>
  </w:num>
  <w:num w:numId="52">
    <w:abstractNumId w:val="34"/>
  </w:num>
  <w:num w:numId="53">
    <w:abstractNumId w:val="44"/>
  </w:num>
  <w:num w:numId="54">
    <w:abstractNumId w:val="38"/>
  </w:num>
  <w:num w:numId="55">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7F71"/>
    <w:rsid w:val="004D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4003</Words>
  <Characters>22821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2013-09-10T06:56:00Z</dcterms:created>
  <dcterms:modified xsi:type="dcterms:W3CDTF">2013-09-10T06:56:00Z</dcterms:modified>
</cp:coreProperties>
</file>